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0AFA" w14:textId="77777777" w:rsidR="00BB1BED" w:rsidRPr="00287A5B" w:rsidRDefault="00BB1BED" w:rsidP="009F0B63">
      <w:pPr>
        <w:pStyle w:val="Annexetitle"/>
      </w:pPr>
      <w:r w:rsidRPr="00287A5B">
        <w:t>ANNEX II: TERMS OF REFERENCE</w:t>
      </w:r>
    </w:p>
    <w:p w14:paraId="2F804F9C" w14:textId="77777777" w:rsidR="002823E9" w:rsidRPr="0029020E" w:rsidRDefault="00BB1BED">
      <w:pPr>
        <w:pStyle w:val="TOC1"/>
        <w:rPr>
          <w:rFonts w:ascii="Calibri" w:hAnsi="Calibri"/>
          <w:b w:val="0"/>
          <w:caps w:val="0"/>
          <w:noProof/>
          <w:szCs w:val="22"/>
          <w:lang w:eastAsia="en-GB"/>
        </w:rPr>
      </w:pPr>
      <w:r w:rsidRPr="00287A5B">
        <w:rPr>
          <w:b w:val="0"/>
          <w:caps w:val="0"/>
          <w:szCs w:val="22"/>
        </w:rPr>
        <w:fldChar w:fldCharType="begin"/>
      </w:r>
      <w:r w:rsidRPr="00287A5B">
        <w:rPr>
          <w:b w:val="0"/>
          <w:caps w:val="0"/>
          <w:szCs w:val="22"/>
        </w:rPr>
        <w:instrText xml:space="preserve"> TOC \o "1-2" </w:instrText>
      </w:r>
      <w:r w:rsidRPr="00287A5B">
        <w:rPr>
          <w:b w:val="0"/>
          <w:caps w:val="0"/>
          <w:szCs w:val="22"/>
        </w:rPr>
        <w:fldChar w:fldCharType="separate"/>
      </w:r>
      <w:r w:rsidR="002823E9">
        <w:rPr>
          <w:noProof/>
        </w:rPr>
        <w:t>1.</w:t>
      </w:r>
      <w:r w:rsidR="002823E9" w:rsidRPr="0029020E">
        <w:rPr>
          <w:rFonts w:ascii="Calibri" w:hAnsi="Calibri"/>
          <w:b w:val="0"/>
          <w:caps w:val="0"/>
          <w:noProof/>
          <w:szCs w:val="22"/>
          <w:lang w:eastAsia="en-GB"/>
        </w:rPr>
        <w:tab/>
      </w:r>
      <w:r w:rsidR="002823E9">
        <w:rPr>
          <w:noProof/>
        </w:rPr>
        <w:t>BACKGROUND INFORMATION</w:t>
      </w:r>
      <w:r w:rsidR="002823E9">
        <w:rPr>
          <w:noProof/>
        </w:rPr>
        <w:tab/>
      </w:r>
      <w:r w:rsidR="002823E9">
        <w:rPr>
          <w:noProof/>
        </w:rPr>
        <w:fldChar w:fldCharType="begin"/>
      </w:r>
      <w:r w:rsidR="002823E9">
        <w:rPr>
          <w:noProof/>
        </w:rPr>
        <w:instrText xml:space="preserve"> PAGEREF _Toc438131762 \h </w:instrText>
      </w:r>
      <w:r w:rsidR="002823E9">
        <w:rPr>
          <w:noProof/>
        </w:rPr>
      </w:r>
      <w:r w:rsidR="002823E9">
        <w:rPr>
          <w:noProof/>
        </w:rPr>
        <w:fldChar w:fldCharType="separate"/>
      </w:r>
      <w:r w:rsidR="002823E9">
        <w:rPr>
          <w:noProof/>
        </w:rPr>
        <w:t>2</w:t>
      </w:r>
      <w:r w:rsidR="002823E9">
        <w:rPr>
          <w:noProof/>
        </w:rPr>
        <w:fldChar w:fldCharType="end"/>
      </w:r>
    </w:p>
    <w:p w14:paraId="687ADDEC" w14:textId="77777777" w:rsidR="002823E9" w:rsidRPr="0029020E" w:rsidRDefault="002823E9">
      <w:pPr>
        <w:pStyle w:val="TOC2"/>
        <w:tabs>
          <w:tab w:val="left" w:pos="1077"/>
        </w:tabs>
        <w:rPr>
          <w:rFonts w:ascii="Calibri" w:hAnsi="Calibri"/>
          <w:noProof/>
          <w:szCs w:val="22"/>
          <w:lang w:eastAsia="en-GB"/>
        </w:rPr>
      </w:pPr>
      <w:r>
        <w:rPr>
          <w:noProof/>
        </w:rPr>
        <w:t>1.1.</w:t>
      </w:r>
      <w:r w:rsidRPr="0029020E">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_Toc438131763 \h </w:instrText>
      </w:r>
      <w:r>
        <w:rPr>
          <w:noProof/>
        </w:rPr>
      </w:r>
      <w:r>
        <w:rPr>
          <w:noProof/>
        </w:rPr>
        <w:fldChar w:fldCharType="separate"/>
      </w:r>
      <w:r>
        <w:rPr>
          <w:noProof/>
        </w:rPr>
        <w:t>2</w:t>
      </w:r>
      <w:r>
        <w:rPr>
          <w:noProof/>
        </w:rPr>
        <w:fldChar w:fldCharType="end"/>
      </w:r>
    </w:p>
    <w:p w14:paraId="4CA0A729" w14:textId="77777777" w:rsidR="002823E9" w:rsidRPr="0029020E" w:rsidRDefault="002823E9">
      <w:pPr>
        <w:pStyle w:val="TOC2"/>
        <w:tabs>
          <w:tab w:val="left" w:pos="1077"/>
        </w:tabs>
        <w:rPr>
          <w:rFonts w:ascii="Calibri" w:hAnsi="Calibri"/>
          <w:noProof/>
          <w:szCs w:val="22"/>
          <w:lang w:eastAsia="en-GB"/>
        </w:rPr>
      </w:pPr>
      <w:r>
        <w:rPr>
          <w:noProof/>
        </w:rPr>
        <w:t>1.2.</w:t>
      </w:r>
      <w:r w:rsidRPr="0029020E">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_Toc438131764 \h </w:instrText>
      </w:r>
      <w:r>
        <w:rPr>
          <w:noProof/>
        </w:rPr>
      </w:r>
      <w:r>
        <w:rPr>
          <w:noProof/>
        </w:rPr>
        <w:fldChar w:fldCharType="separate"/>
      </w:r>
      <w:r>
        <w:rPr>
          <w:noProof/>
        </w:rPr>
        <w:t>2</w:t>
      </w:r>
      <w:r>
        <w:rPr>
          <w:noProof/>
        </w:rPr>
        <w:fldChar w:fldCharType="end"/>
      </w:r>
    </w:p>
    <w:p w14:paraId="4A39B679" w14:textId="77777777" w:rsidR="002823E9" w:rsidRPr="0029020E" w:rsidRDefault="002823E9">
      <w:pPr>
        <w:pStyle w:val="TOC2"/>
        <w:tabs>
          <w:tab w:val="left" w:pos="1077"/>
        </w:tabs>
        <w:rPr>
          <w:rFonts w:ascii="Calibri" w:hAnsi="Calibri"/>
          <w:noProof/>
          <w:szCs w:val="22"/>
          <w:lang w:eastAsia="en-GB"/>
        </w:rPr>
      </w:pPr>
      <w:r>
        <w:rPr>
          <w:noProof/>
        </w:rPr>
        <w:t>1.3.</w:t>
      </w:r>
      <w:r w:rsidRPr="0029020E">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_Toc438131765 \h </w:instrText>
      </w:r>
      <w:r>
        <w:rPr>
          <w:noProof/>
        </w:rPr>
      </w:r>
      <w:r>
        <w:rPr>
          <w:noProof/>
        </w:rPr>
        <w:fldChar w:fldCharType="separate"/>
      </w:r>
      <w:r>
        <w:rPr>
          <w:noProof/>
        </w:rPr>
        <w:t>2</w:t>
      </w:r>
      <w:r>
        <w:rPr>
          <w:noProof/>
        </w:rPr>
        <w:fldChar w:fldCharType="end"/>
      </w:r>
    </w:p>
    <w:p w14:paraId="231A0CFC" w14:textId="77777777" w:rsidR="002823E9" w:rsidRPr="0029020E" w:rsidRDefault="002823E9">
      <w:pPr>
        <w:pStyle w:val="TOC2"/>
        <w:tabs>
          <w:tab w:val="left" w:pos="1077"/>
        </w:tabs>
        <w:rPr>
          <w:rFonts w:ascii="Calibri" w:hAnsi="Calibri"/>
          <w:noProof/>
          <w:szCs w:val="22"/>
          <w:lang w:eastAsia="en-GB"/>
        </w:rPr>
      </w:pPr>
      <w:r>
        <w:rPr>
          <w:noProof/>
        </w:rPr>
        <w:t>1.4.</w:t>
      </w:r>
      <w:r w:rsidRPr="0029020E">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_Toc438131766 \h </w:instrText>
      </w:r>
      <w:r>
        <w:rPr>
          <w:noProof/>
        </w:rPr>
      </w:r>
      <w:r>
        <w:rPr>
          <w:noProof/>
        </w:rPr>
        <w:fldChar w:fldCharType="separate"/>
      </w:r>
      <w:r>
        <w:rPr>
          <w:noProof/>
        </w:rPr>
        <w:t>2</w:t>
      </w:r>
      <w:r>
        <w:rPr>
          <w:noProof/>
        </w:rPr>
        <w:fldChar w:fldCharType="end"/>
      </w:r>
    </w:p>
    <w:p w14:paraId="3970EEE6" w14:textId="77777777" w:rsidR="002823E9" w:rsidRPr="0029020E" w:rsidRDefault="002823E9">
      <w:pPr>
        <w:pStyle w:val="TOC2"/>
        <w:tabs>
          <w:tab w:val="left" w:pos="1077"/>
        </w:tabs>
        <w:rPr>
          <w:rFonts w:ascii="Calibri" w:hAnsi="Calibri"/>
          <w:noProof/>
          <w:szCs w:val="22"/>
          <w:lang w:eastAsia="en-GB"/>
        </w:rPr>
      </w:pPr>
      <w:r>
        <w:rPr>
          <w:noProof/>
        </w:rPr>
        <w:t>1.5.</w:t>
      </w:r>
      <w:r w:rsidRPr="0029020E">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_Toc438131767 \h </w:instrText>
      </w:r>
      <w:r>
        <w:rPr>
          <w:noProof/>
        </w:rPr>
      </w:r>
      <w:r>
        <w:rPr>
          <w:noProof/>
        </w:rPr>
        <w:fldChar w:fldCharType="separate"/>
      </w:r>
      <w:r>
        <w:rPr>
          <w:noProof/>
        </w:rPr>
        <w:t>2</w:t>
      </w:r>
      <w:r>
        <w:rPr>
          <w:noProof/>
        </w:rPr>
        <w:fldChar w:fldCharType="end"/>
      </w:r>
    </w:p>
    <w:p w14:paraId="3C89AEBE" w14:textId="77777777" w:rsidR="002823E9" w:rsidRPr="0029020E" w:rsidRDefault="002823E9">
      <w:pPr>
        <w:pStyle w:val="TOC1"/>
        <w:rPr>
          <w:rFonts w:ascii="Calibri" w:hAnsi="Calibri"/>
          <w:b w:val="0"/>
          <w:caps w:val="0"/>
          <w:noProof/>
          <w:szCs w:val="22"/>
          <w:lang w:eastAsia="en-GB"/>
        </w:rPr>
      </w:pPr>
      <w:r>
        <w:rPr>
          <w:noProof/>
        </w:rPr>
        <w:t>2.</w:t>
      </w:r>
      <w:r w:rsidRPr="0029020E">
        <w:rPr>
          <w:rFonts w:ascii="Calibri" w:hAnsi="Calibri"/>
          <w:b w:val="0"/>
          <w:caps w:val="0"/>
          <w:noProof/>
          <w:szCs w:val="22"/>
          <w:lang w:eastAsia="en-GB"/>
        </w:rPr>
        <w:tab/>
      </w:r>
      <w:r>
        <w:rPr>
          <w:noProof/>
        </w:rPr>
        <w:t>OBJECTIVE, PURPOSE &amp; EXPECTED RESULTS</w:t>
      </w:r>
      <w:r>
        <w:rPr>
          <w:noProof/>
        </w:rPr>
        <w:tab/>
      </w:r>
      <w:r>
        <w:rPr>
          <w:noProof/>
        </w:rPr>
        <w:fldChar w:fldCharType="begin"/>
      </w:r>
      <w:r>
        <w:rPr>
          <w:noProof/>
        </w:rPr>
        <w:instrText xml:space="preserve"> PAGEREF _Toc438131768 \h </w:instrText>
      </w:r>
      <w:r>
        <w:rPr>
          <w:noProof/>
        </w:rPr>
      </w:r>
      <w:r>
        <w:rPr>
          <w:noProof/>
        </w:rPr>
        <w:fldChar w:fldCharType="separate"/>
      </w:r>
      <w:r>
        <w:rPr>
          <w:noProof/>
        </w:rPr>
        <w:t>2</w:t>
      </w:r>
      <w:r>
        <w:rPr>
          <w:noProof/>
        </w:rPr>
        <w:fldChar w:fldCharType="end"/>
      </w:r>
    </w:p>
    <w:p w14:paraId="090189EA" w14:textId="77777777" w:rsidR="002823E9" w:rsidRPr="0029020E" w:rsidRDefault="002823E9">
      <w:pPr>
        <w:pStyle w:val="TOC2"/>
        <w:tabs>
          <w:tab w:val="left" w:pos="1077"/>
        </w:tabs>
        <w:rPr>
          <w:rFonts w:ascii="Calibri" w:hAnsi="Calibri"/>
          <w:noProof/>
          <w:szCs w:val="22"/>
          <w:lang w:eastAsia="en-GB"/>
        </w:rPr>
      </w:pPr>
      <w:r>
        <w:rPr>
          <w:noProof/>
        </w:rPr>
        <w:t>2.1.</w:t>
      </w:r>
      <w:r w:rsidRPr="0029020E">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_Toc438131769 \h </w:instrText>
      </w:r>
      <w:r>
        <w:rPr>
          <w:noProof/>
        </w:rPr>
      </w:r>
      <w:r>
        <w:rPr>
          <w:noProof/>
        </w:rPr>
        <w:fldChar w:fldCharType="separate"/>
      </w:r>
      <w:r>
        <w:rPr>
          <w:noProof/>
        </w:rPr>
        <w:t>2</w:t>
      </w:r>
      <w:r>
        <w:rPr>
          <w:noProof/>
        </w:rPr>
        <w:fldChar w:fldCharType="end"/>
      </w:r>
    </w:p>
    <w:p w14:paraId="1B149626" w14:textId="77777777" w:rsidR="002823E9" w:rsidRPr="0029020E" w:rsidRDefault="002823E9">
      <w:pPr>
        <w:pStyle w:val="TOC2"/>
        <w:tabs>
          <w:tab w:val="left" w:pos="1077"/>
        </w:tabs>
        <w:rPr>
          <w:rFonts w:ascii="Calibri" w:hAnsi="Calibri"/>
          <w:noProof/>
          <w:szCs w:val="22"/>
          <w:lang w:eastAsia="en-GB"/>
        </w:rPr>
      </w:pPr>
      <w:r>
        <w:rPr>
          <w:noProof/>
        </w:rPr>
        <w:t>2.2.</w:t>
      </w:r>
      <w:r w:rsidRPr="0029020E">
        <w:rPr>
          <w:rFonts w:ascii="Calibri" w:hAnsi="Calibri"/>
          <w:noProof/>
          <w:szCs w:val="22"/>
          <w:lang w:eastAsia="en-GB"/>
        </w:rPr>
        <w:tab/>
      </w:r>
      <w:r>
        <w:rPr>
          <w:noProof/>
        </w:rPr>
        <w:t>Purpose</w:t>
      </w:r>
      <w:r>
        <w:rPr>
          <w:noProof/>
        </w:rPr>
        <w:tab/>
      </w:r>
      <w:r>
        <w:rPr>
          <w:noProof/>
        </w:rPr>
        <w:fldChar w:fldCharType="begin"/>
      </w:r>
      <w:r>
        <w:rPr>
          <w:noProof/>
        </w:rPr>
        <w:instrText xml:space="preserve"> PAGEREF _Toc438131770 \h </w:instrText>
      </w:r>
      <w:r>
        <w:rPr>
          <w:noProof/>
        </w:rPr>
      </w:r>
      <w:r>
        <w:rPr>
          <w:noProof/>
        </w:rPr>
        <w:fldChar w:fldCharType="separate"/>
      </w:r>
      <w:r>
        <w:rPr>
          <w:noProof/>
        </w:rPr>
        <w:t>3</w:t>
      </w:r>
      <w:r>
        <w:rPr>
          <w:noProof/>
        </w:rPr>
        <w:fldChar w:fldCharType="end"/>
      </w:r>
    </w:p>
    <w:p w14:paraId="7FD0F5DC" w14:textId="77777777" w:rsidR="002823E9" w:rsidRPr="0029020E" w:rsidRDefault="002823E9">
      <w:pPr>
        <w:pStyle w:val="TOC2"/>
        <w:tabs>
          <w:tab w:val="left" w:pos="1077"/>
        </w:tabs>
        <w:rPr>
          <w:rFonts w:ascii="Calibri" w:hAnsi="Calibri"/>
          <w:noProof/>
          <w:szCs w:val="22"/>
          <w:lang w:eastAsia="en-GB"/>
        </w:rPr>
      </w:pPr>
      <w:r>
        <w:rPr>
          <w:noProof/>
        </w:rPr>
        <w:t>2.3.</w:t>
      </w:r>
      <w:r w:rsidRPr="0029020E">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_Toc438131771 \h </w:instrText>
      </w:r>
      <w:r>
        <w:rPr>
          <w:noProof/>
        </w:rPr>
      </w:r>
      <w:r>
        <w:rPr>
          <w:noProof/>
        </w:rPr>
        <w:fldChar w:fldCharType="separate"/>
      </w:r>
      <w:r>
        <w:rPr>
          <w:noProof/>
        </w:rPr>
        <w:t>3</w:t>
      </w:r>
      <w:r>
        <w:rPr>
          <w:noProof/>
        </w:rPr>
        <w:fldChar w:fldCharType="end"/>
      </w:r>
    </w:p>
    <w:p w14:paraId="0E74F2C2" w14:textId="77777777" w:rsidR="002823E9" w:rsidRPr="0029020E" w:rsidRDefault="002823E9">
      <w:pPr>
        <w:pStyle w:val="TOC1"/>
        <w:rPr>
          <w:rFonts w:ascii="Calibri" w:hAnsi="Calibri"/>
          <w:b w:val="0"/>
          <w:caps w:val="0"/>
          <w:noProof/>
          <w:szCs w:val="22"/>
          <w:lang w:eastAsia="en-GB"/>
        </w:rPr>
      </w:pPr>
      <w:r>
        <w:rPr>
          <w:noProof/>
        </w:rPr>
        <w:t>3.</w:t>
      </w:r>
      <w:r w:rsidRPr="0029020E">
        <w:rPr>
          <w:rFonts w:ascii="Calibri" w:hAnsi="Calibri"/>
          <w:b w:val="0"/>
          <w:caps w:val="0"/>
          <w:noProof/>
          <w:szCs w:val="22"/>
          <w:lang w:eastAsia="en-GB"/>
        </w:rPr>
        <w:tab/>
      </w:r>
      <w:r>
        <w:rPr>
          <w:noProof/>
        </w:rPr>
        <w:t>ASSUMPTIONS &amp; RISKS</w:t>
      </w:r>
      <w:r>
        <w:rPr>
          <w:noProof/>
        </w:rPr>
        <w:tab/>
      </w:r>
      <w:r>
        <w:rPr>
          <w:noProof/>
        </w:rPr>
        <w:fldChar w:fldCharType="begin"/>
      </w:r>
      <w:r>
        <w:rPr>
          <w:noProof/>
        </w:rPr>
        <w:instrText xml:space="preserve"> PAGEREF _Toc438131772 \h </w:instrText>
      </w:r>
      <w:r>
        <w:rPr>
          <w:noProof/>
        </w:rPr>
      </w:r>
      <w:r>
        <w:rPr>
          <w:noProof/>
        </w:rPr>
        <w:fldChar w:fldCharType="separate"/>
      </w:r>
      <w:r>
        <w:rPr>
          <w:noProof/>
        </w:rPr>
        <w:t>3</w:t>
      </w:r>
      <w:r>
        <w:rPr>
          <w:noProof/>
        </w:rPr>
        <w:fldChar w:fldCharType="end"/>
      </w:r>
    </w:p>
    <w:p w14:paraId="3791BD71" w14:textId="77777777" w:rsidR="002823E9" w:rsidRPr="0029020E" w:rsidRDefault="002823E9">
      <w:pPr>
        <w:pStyle w:val="TOC2"/>
        <w:tabs>
          <w:tab w:val="left" w:pos="1077"/>
        </w:tabs>
        <w:rPr>
          <w:rFonts w:ascii="Calibri" w:hAnsi="Calibri"/>
          <w:noProof/>
          <w:szCs w:val="22"/>
          <w:lang w:eastAsia="en-GB"/>
        </w:rPr>
      </w:pPr>
      <w:r>
        <w:rPr>
          <w:noProof/>
        </w:rPr>
        <w:t>3.1.</w:t>
      </w:r>
      <w:r w:rsidRPr="0029020E">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_Toc438131773 \h </w:instrText>
      </w:r>
      <w:r>
        <w:rPr>
          <w:noProof/>
        </w:rPr>
      </w:r>
      <w:r>
        <w:rPr>
          <w:noProof/>
        </w:rPr>
        <w:fldChar w:fldCharType="separate"/>
      </w:r>
      <w:r>
        <w:rPr>
          <w:noProof/>
        </w:rPr>
        <w:t>3</w:t>
      </w:r>
      <w:r>
        <w:rPr>
          <w:noProof/>
        </w:rPr>
        <w:fldChar w:fldCharType="end"/>
      </w:r>
    </w:p>
    <w:p w14:paraId="6D1D5E08" w14:textId="77777777" w:rsidR="002823E9" w:rsidRPr="0029020E" w:rsidRDefault="002823E9">
      <w:pPr>
        <w:pStyle w:val="TOC2"/>
        <w:tabs>
          <w:tab w:val="left" w:pos="1077"/>
        </w:tabs>
        <w:rPr>
          <w:rFonts w:ascii="Calibri" w:hAnsi="Calibri"/>
          <w:noProof/>
          <w:szCs w:val="22"/>
          <w:lang w:eastAsia="en-GB"/>
        </w:rPr>
      </w:pPr>
      <w:r>
        <w:rPr>
          <w:noProof/>
        </w:rPr>
        <w:t>3.2.</w:t>
      </w:r>
      <w:r w:rsidRPr="0029020E">
        <w:rPr>
          <w:rFonts w:ascii="Calibri" w:hAnsi="Calibri"/>
          <w:noProof/>
          <w:szCs w:val="22"/>
          <w:lang w:eastAsia="en-GB"/>
        </w:rPr>
        <w:tab/>
      </w:r>
      <w:r>
        <w:rPr>
          <w:noProof/>
        </w:rPr>
        <w:t>Risks</w:t>
      </w:r>
      <w:r>
        <w:rPr>
          <w:noProof/>
        </w:rPr>
        <w:tab/>
      </w:r>
      <w:r>
        <w:rPr>
          <w:noProof/>
        </w:rPr>
        <w:fldChar w:fldCharType="begin"/>
      </w:r>
      <w:r>
        <w:rPr>
          <w:noProof/>
        </w:rPr>
        <w:instrText xml:space="preserve"> PAGEREF _Toc438131774 \h </w:instrText>
      </w:r>
      <w:r>
        <w:rPr>
          <w:noProof/>
        </w:rPr>
      </w:r>
      <w:r>
        <w:rPr>
          <w:noProof/>
        </w:rPr>
        <w:fldChar w:fldCharType="separate"/>
      </w:r>
      <w:r>
        <w:rPr>
          <w:noProof/>
        </w:rPr>
        <w:t>3</w:t>
      </w:r>
      <w:r>
        <w:rPr>
          <w:noProof/>
        </w:rPr>
        <w:fldChar w:fldCharType="end"/>
      </w:r>
    </w:p>
    <w:p w14:paraId="1AAD4BC6" w14:textId="77777777" w:rsidR="002823E9" w:rsidRPr="0029020E" w:rsidRDefault="002823E9">
      <w:pPr>
        <w:pStyle w:val="TOC1"/>
        <w:rPr>
          <w:rFonts w:ascii="Calibri" w:hAnsi="Calibri"/>
          <w:b w:val="0"/>
          <w:caps w:val="0"/>
          <w:noProof/>
          <w:szCs w:val="22"/>
          <w:lang w:eastAsia="en-GB"/>
        </w:rPr>
      </w:pPr>
      <w:r>
        <w:rPr>
          <w:noProof/>
        </w:rPr>
        <w:t>4.</w:t>
      </w:r>
      <w:r w:rsidRPr="0029020E">
        <w:rPr>
          <w:rFonts w:ascii="Calibri" w:hAnsi="Calibri"/>
          <w:b w:val="0"/>
          <w:caps w:val="0"/>
          <w:noProof/>
          <w:szCs w:val="22"/>
          <w:lang w:eastAsia="en-GB"/>
        </w:rPr>
        <w:tab/>
      </w:r>
      <w:r>
        <w:rPr>
          <w:noProof/>
        </w:rPr>
        <w:t>SCOPE OF THE WORK</w:t>
      </w:r>
      <w:r>
        <w:rPr>
          <w:noProof/>
        </w:rPr>
        <w:tab/>
      </w:r>
      <w:r>
        <w:rPr>
          <w:noProof/>
        </w:rPr>
        <w:fldChar w:fldCharType="begin"/>
      </w:r>
      <w:r>
        <w:rPr>
          <w:noProof/>
        </w:rPr>
        <w:instrText xml:space="preserve"> PAGEREF _Toc438131775 \h </w:instrText>
      </w:r>
      <w:r>
        <w:rPr>
          <w:noProof/>
        </w:rPr>
      </w:r>
      <w:r>
        <w:rPr>
          <w:noProof/>
        </w:rPr>
        <w:fldChar w:fldCharType="separate"/>
      </w:r>
      <w:r>
        <w:rPr>
          <w:noProof/>
        </w:rPr>
        <w:t>3</w:t>
      </w:r>
      <w:r>
        <w:rPr>
          <w:noProof/>
        </w:rPr>
        <w:fldChar w:fldCharType="end"/>
      </w:r>
    </w:p>
    <w:p w14:paraId="0540AFF1" w14:textId="77777777" w:rsidR="002823E9" w:rsidRPr="0029020E" w:rsidRDefault="002823E9">
      <w:pPr>
        <w:pStyle w:val="TOC2"/>
        <w:tabs>
          <w:tab w:val="left" w:pos="1077"/>
        </w:tabs>
        <w:rPr>
          <w:rFonts w:ascii="Calibri" w:hAnsi="Calibri"/>
          <w:noProof/>
          <w:szCs w:val="22"/>
          <w:lang w:eastAsia="en-GB"/>
        </w:rPr>
      </w:pPr>
      <w:r>
        <w:rPr>
          <w:noProof/>
        </w:rPr>
        <w:t>4.1.</w:t>
      </w:r>
      <w:r w:rsidRPr="0029020E">
        <w:rPr>
          <w:rFonts w:ascii="Calibri" w:hAnsi="Calibri"/>
          <w:noProof/>
          <w:szCs w:val="22"/>
          <w:lang w:eastAsia="en-GB"/>
        </w:rPr>
        <w:tab/>
      </w:r>
      <w:r>
        <w:rPr>
          <w:noProof/>
        </w:rPr>
        <w:t>General</w:t>
      </w:r>
      <w:r>
        <w:rPr>
          <w:noProof/>
        </w:rPr>
        <w:tab/>
      </w:r>
      <w:r>
        <w:rPr>
          <w:noProof/>
        </w:rPr>
        <w:fldChar w:fldCharType="begin"/>
      </w:r>
      <w:r>
        <w:rPr>
          <w:noProof/>
        </w:rPr>
        <w:instrText xml:space="preserve"> PAGEREF _Toc438131776 \h </w:instrText>
      </w:r>
      <w:r>
        <w:rPr>
          <w:noProof/>
        </w:rPr>
      </w:r>
      <w:r>
        <w:rPr>
          <w:noProof/>
        </w:rPr>
        <w:fldChar w:fldCharType="separate"/>
      </w:r>
      <w:r>
        <w:rPr>
          <w:noProof/>
        </w:rPr>
        <w:t>3</w:t>
      </w:r>
      <w:r>
        <w:rPr>
          <w:noProof/>
        </w:rPr>
        <w:fldChar w:fldCharType="end"/>
      </w:r>
    </w:p>
    <w:p w14:paraId="1DAA6F31" w14:textId="77777777" w:rsidR="002823E9" w:rsidRPr="0029020E" w:rsidRDefault="002823E9">
      <w:pPr>
        <w:pStyle w:val="TOC2"/>
        <w:tabs>
          <w:tab w:val="left" w:pos="1077"/>
        </w:tabs>
        <w:rPr>
          <w:rFonts w:ascii="Calibri" w:hAnsi="Calibri"/>
          <w:noProof/>
          <w:szCs w:val="22"/>
          <w:lang w:eastAsia="en-GB"/>
        </w:rPr>
      </w:pPr>
      <w:r>
        <w:rPr>
          <w:noProof/>
        </w:rPr>
        <w:t>4.2.</w:t>
      </w:r>
      <w:r w:rsidRPr="0029020E">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_Toc438131777 \h </w:instrText>
      </w:r>
      <w:r>
        <w:rPr>
          <w:noProof/>
        </w:rPr>
      </w:r>
      <w:r>
        <w:rPr>
          <w:noProof/>
        </w:rPr>
        <w:fldChar w:fldCharType="separate"/>
      </w:r>
      <w:r>
        <w:rPr>
          <w:noProof/>
        </w:rPr>
        <w:t>3</w:t>
      </w:r>
      <w:r>
        <w:rPr>
          <w:noProof/>
        </w:rPr>
        <w:fldChar w:fldCharType="end"/>
      </w:r>
    </w:p>
    <w:p w14:paraId="2E787EF2" w14:textId="77777777" w:rsidR="002823E9" w:rsidRPr="0029020E" w:rsidRDefault="002823E9">
      <w:pPr>
        <w:pStyle w:val="TOC2"/>
        <w:tabs>
          <w:tab w:val="left" w:pos="1077"/>
        </w:tabs>
        <w:rPr>
          <w:rFonts w:ascii="Calibri" w:hAnsi="Calibri"/>
          <w:noProof/>
          <w:szCs w:val="22"/>
          <w:lang w:eastAsia="en-GB"/>
        </w:rPr>
      </w:pPr>
      <w:r>
        <w:rPr>
          <w:noProof/>
        </w:rPr>
        <w:t>4.3.</w:t>
      </w:r>
      <w:r w:rsidRPr="0029020E">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_Toc438131778 \h </w:instrText>
      </w:r>
      <w:r>
        <w:rPr>
          <w:noProof/>
        </w:rPr>
      </w:r>
      <w:r>
        <w:rPr>
          <w:noProof/>
        </w:rPr>
        <w:fldChar w:fldCharType="separate"/>
      </w:r>
      <w:r>
        <w:rPr>
          <w:noProof/>
        </w:rPr>
        <w:t>4</w:t>
      </w:r>
      <w:r>
        <w:rPr>
          <w:noProof/>
        </w:rPr>
        <w:fldChar w:fldCharType="end"/>
      </w:r>
    </w:p>
    <w:p w14:paraId="5FAAE314" w14:textId="77777777" w:rsidR="002823E9" w:rsidRPr="0029020E" w:rsidRDefault="002823E9">
      <w:pPr>
        <w:pStyle w:val="TOC1"/>
        <w:rPr>
          <w:rFonts w:ascii="Calibri" w:hAnsi="Calibri"/>
          <w:b w:val="0"/>
          <w:caps w:val="0"/>
          <w:noProof/>
          <w:szCs w:val="22"/>
          <w:lang w:eastAsia="en-GB"/>
        </w:rPr>
      </w:pPr>
      <w:r>
        <w:rPr>
          <w:noProof/>
        </w:rPr>
        <w:t>5.</w:t>
      </w:r>
      <w:r w:rsidRPr="0029020E">
        <w:rPr>
          <w:rFonts w:ascii="Calibri" w:hAnsi="Calibri"/>
          <w:b w:val="0"/>
          <w:caps w:val="0"/>
          <w:noProof/>
          <w:szCs w:val="22"/>
          <w:lang w:eastAsia="en-GB"/>
        </w:rPr>
        <w:tab/>
      </w:r>
      <w:r>
        <w:rPr>
          <w:noProof/>
        </w:rPr>
        <w:t>LOGISTICS AND TIMING</w:t>
      </w:r>
      <w:r>
        <w:rPr>
          <w:noProof/>
        </w:rPr>
        <w:tab/>
      </w:r>
      <w:r>
        <w:rPr>
          <w:noProof/>
        </w:rPr>
        <w:fldChar w:fldCharType="begin"/>
      </w:r>
      <w:r>
        <w:rPr>
          <w:noProof/>
        </w:rPr>
        <w:instrText xml:space="preserve"> PAGEREF _Toc438131779 \h </w:instrText>
      </w:r>
      <w:r>
        <w:rPr>
          <w:noProof/>
        </w:rPr>
      </w:r>
      <w:r>
        <w:rPr>
          <w:noProof/>
        </w:rPr>
        <w:fldChar w:fldCharType="separate"/>
      </w:r>
      <w:r>
        <w:rPr>
          <w:noProof/>
        </w:rPr>
        <w:t>5</w:t>
      </w:r>
      <w:r>
        <w:rPr>
          <w:noProof/>
        </w:rPr>
        <w:fldChar w:fldCharType="end"/>
      </w:r>
    </w:p>
    <w:p w14:paraId="39D655F3" w14:textId="77777777" w:rsidR="002823E9" w:rsidRPr="0029020E" w:rsidRDefault="002823E9">
      <w:pPr>
        <w:pStyle w:val="TOC2"/>
        <w:tabs>
          <w:tab w:val="left" w:pos="1077"/>
        </w:tabs>
        <w:rPr>
          <w:rFonts w:ascii="Calibri" w:hAnsi="Calibri"/>
          <w:noProof/>
          <w:szCs w:val="22"/>
          <w:lang w:eastAsia="en-GB"/>
        </w:rPr>
      </w:pPr>
      <w:r>
        <w:rPr>
          <w:noProof/>
        </w:rPr>
        <w:t>5.1.</w:t>
      </w:r>
      <w:r w:rsidRPr="0029020E">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_Toc438131780 \h </w:instrText>
      </w:r>
      <w:r>
        <w:rPr>
          <w:noProof/>
        </w:rPr>
      </w:r>
      <w:r>
        <w:rPr>
          <w:noProof/>
        </w:rPr>
        <w:fldChar w:fldCharType="separate"/>
      </w:r>
      <w:r>
        <w:rPr>
          <w:noProof/>
        </w:rPr>
        <w:t>5</w:t>
      </w:r>
      <w:r>
        <w:rPr>
          <w:noProof/>
        </w:rPr>
        <w:fldChar w:fldCharType="end"/>
      </w:r>
    </w:p>
    <w:p w14:paraId="6EAC2364" w14:textId="77777777" w:rsidR="002823E9" w:rsidRPr="0029020E" w:rsidRDefault="002823E9">
      <w:pPr>
        <w:pStyle w:val="TOC2"/>
        <w:tabs>
          <w:tab w:val="left" w:pos="1077"/>
        </w:tabs>
        <w:rPr>
          <w:rFonts w:ascii="Calibri" w:hAnsi="Calibri"/>
          <w:noProof/>
          <w:szCs w:val="22"/>
          <w:lang w:eastAsia="en-GB"/>
        </w:rPr>
      </w:pPr>
      <w:r>
        <w:rPr>
          <w:noProof/>
        </w:rPr>
        <w:t>5.2.</w:t>
      </w:r>
      <w:r w:rsidRPr="0029020E">
        <w:rPr>
          <w:rFonts w:ascii="Calibri" w:hAnsi="Calibri"/>
          <w:noProof/>
          <w:szCs w:val="22"/>
          <w:lang w:eastAsia="en-GB"/>
        </w:rPr>
        <w:tab/>
      </w:r>
      <w:r>
        <w:rPr>
          <w:noProof/>
        </w:rPr>
        <w:t>Start date &amp; period of implementation</w:t>
      </w:r>
      <w:r>
        <w:rPr>
          <w:noProof/>
        </w:rPr>
        <w:tab/>
      </w:r>
      <w:r>
        <w:rPr>
          <w:noProof/>
        </w:rPr>
        <w:fldChar w:fldCharType="begin"/>
      </w:r>
      <w:r>
        <w:rPr>
          <w:noProof/>
        </w:rPr>
        <w:instrText xml:space="preserve"> PAGEREF _Toc438131781 \h </w:instrText>
      </w:r>
      <w:r>
        <w:rPr>
          <w:noProof/>
        </w:rPr>
      </w:r>
      <w:r>
        <w:rPr>
          <w:noProof/>
        </w:rPr>
        <w:fldChar w:fldCharType="separate"/>
      </w:r>
      <w:r>
        <w:rPr>
          <w:noProof/>
        </w:rPr>
        <w:t>5</w:t>
      </w:r>
      <w:r>
        <w:rPr>
          <w:noProof/>
        </w:rPr>
        <w:fldChar w:fldCharType="end"/>
      </w:r>
    </w:p>
    <w:p w14:paraId="5CD6A48B" w14:textId="77777777" w:rsidR="002823E9" w:rsidRPr="0029020E" w:rsidRDefault="002823E9">
      <w:pPr>
        <w:pStyle w:val="TOC1"/>
        <w:rPr>
          <w:rFonts w:ascii="Calibri" w:hAnsi="Calibri"/>
          <w:b w:val="0"/>
          <w:caps w:val="0"/>
          <w:noProof/>
          <w:szCs w:val="22"/>
          <w:lang w:eastAsia="en-GB"/>
        </w:rPr>
      </w:pPr>
      <w:r>
        <w:rPr>
          <w:noProof/>
        </w:rPr>
        <w:t>6.</w:t>
      </w:r>
      <w:r w:rsidRPr="0029020E">
        <w:rPr>
          <w:rFonts w:ascii="Calibri" w:hAnsi="Calibri"/>
          <w:b w:val="0"/>
          <w:caps w:val="0"/>
          <w:noProof/>
          <w:szCs w:val="22"/>
          <w:lang w:eastAsia="en-GB"/>
        </w:rPr>
        <w:tab/>
      </w:r>
      <w:r>
        <w:rPr>
          <w:noProof/>
        </w:rPr>
        <w:t>REQUIREMENTS</w:t>
      </w:r>
      <w:r>
        <w:rPr>
          <w:noProof/>
        </w:rPr>
        <w:tab/>
      </w:r>
      <w:r>
        <w:rPr>
          <w:noProof/>
        </w:rPr>
        <w:fldChar w:fldCharType="begin"/>
      </w:r>
      <w:r>
        <w:rPr>
          <w:noProof/>
        </w:rPr>
        <w:instrText xml:space="preserve"> PAGEREF _Toc438131782 \h </w:instrText>
      </w:r>
      <w:r>
        <w:rPr>
          <w:noProof/>
        </w:rPr>
      </w:r>
      <w:r>
        <w:rPr>
          <w:noProof/>
        </w:rPr>
        <w:fldChar w:fldCharType="separate"/>
      </w:r>
      <w:r>
        <w:rPr>
          <w:noProof/>
        </w:rPr>
        <w:t>5</w:t>
      </w:r>
      <w:r>
        <w:rPr>
          <w:noProof/>
        </w:rPr>
        <w:fldChar w:fldCharType="end"/>
      </w:r>
    </w:p>
    <w:p w14:paraId="31735405" w14:textId="77777777" w:rsidR="002823E9" w:rsidRPr="0029020E" w:rsidRDefault="002823E9">
      <w:pPr>
        <w:pStyle w:val="TOC2"/>
        <w:tabs>
          <w:tab w:val="left" w:pos="1077"/>
        </w:tabs>
        <w:rPr>
          <w:rFonts w:ascii="Calibri" w:hAnsi="Calibri"/>
          <w:noProof/>
          <w:szCs w:val="22"/>
          <w:lang w:eastAsia="en-GB"/>
        </w:rPr>
      </w:pPr>
      <w:r>
        <w:rPr>
          <w:noProof/>
        </w:rPr>
        <w:t>6.1.</w:t>
      </w:r>
      <w:r w:rsidRPr="0029020E">
        <w:rPr>
          <w:rFonts w:ascii="Calibri" w:hAnsi="Calibri"/>
          <w:noProof/>
          <w:szCs w:val="22"/>
          <w:lang w:eastAsia="en-GB"/>
        </w:rPr>
        <w:tab/>
      </w:r>
      <w:r w:rsidR="0097081C" w:rsidRPr="007F1CB9">
        <w:rPr>
          <w:noProof/>
        </w:rPr>
        <w:t xml:space="preserve">Personnel </w:t>
      </w:r>
      <w:r>
        <w:rPr>
          <w:noProof/>
        </w:rPr>
        <w:tab/>
      </w:r>
      <w:r>
        <w:rPr>
          <w:noProof/>
        </w:rPr>
        <w:fldChar w:fldCharType="begin"/>
      </w:r>
      <w:r>
        <w:rPr>
          <w:noProof/>
        </w:rPr>
        <w:instrText xml:space="preserve"> PAGEREF _Toc438131783 \h </w:instrText>
      </w:r>
      <w:r>
        <w:rPr>
          <w:noProof/>
        </w:rPr>
      </w:r>
      <w:r>
        <w:rPr>
          <w:noProof/>
        </w:rPr>
        <w:fldChar w:fldCharType="separate"/>
      </w:r>
      <w:r>
        <w:rPr>
          <w:noProof/>
        </w:rPr>
        <w:t>5</w:t>
      </w:r>
      <w:r>
        <w:rPr>
          <w:noProof/>
        </w:rPr>
        <w:fldChar w:fldCharType="end"/>
      </w:r>
    </w:p>
    <w:p w14:paraId="306B1065" w14:textId="77777777" w:rsidR="002823E9" w:rsidRPr="0029020E" w:rsidRDefault="002823E9">
      <w:pPr>
        <w:pStyle w:val="TOC2"/>
        <w:tabs>
          <w:tab w:val="left" w:pos="1077"/>
        </w:tabs>
        <w:rPr>
          <w:rFonts w:ascii="Calibri" w:hAnsi="Calibri"/>
          <w:noProof/>
          <w:szCs w:val="22"/>
          <w:lang w:eastAsia="en-GB"/>
        </w:rPr>
      </w:pPr>
      <w:r>
        <w:rPr>
          <w:noProof/>
        </w:rPr>
        <w:t>6.2.</w:t>
      </w:r>
      <w:r w:rsidRPr="0029020E">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_Toc438131784 \h </w:instrText>
      </w:r>
      <w:r>
        <w:rPr>
          <w:noProof/>
        </w:rPr>
      </w:r>
      <w:r>
        <w:rPr>
          <w:noProof/>
        </w:rPr>
        <w:fldChar w:fldCharType="separate"/>
      </w:r>
      <w:r>
        <w:rPr>
          <w:noProof/>
        </w:rPr>
        <w:t>8</w:t>
      </w:r>
      <w:r>
        <w:rPr>
          <w:noProof/>
        </w:rPr>
        <w:fldChar w:fldCharType="end"/>
      </w:r>
    </w:p>
    <w:p w14:paraId="1660BE99" w14:textId="77777777" w:rsidR="002823E9" w:rsidRPr="0029020E" w:rsidRDefault="002823E9">
      <w:pPr>
        <w:pStyle w:val="TOC2"/>
        <w:tabs>
          <w:tab w:val="left" w:pos="1077"/>
        </w:tabs>
        <w:rPr>
          <w:rFonts w:ascii="Calibri" w:hAnsi="Calibri"/>
          <w:noProof/>
          <w:szCs w:val="22"/>
          <w:lang w:eastAsia="en-GB"/>
        </w:rPr>
      </w:pPr>
      <w:r>
        <w:rPr>
          <w:noProof/>
        </w:rPr>
        <w:t>6.3.</w:t>
      </w:r>
      <w:r w:rsidRPr="0029020E">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_Toc438131785 \h </w:instrText>
      </w:r>
      <w:r>
        <w:rPr>
          <w:noProof/>
        </w:rPr>
      </w:r>
      <w:r>
        <w:rPr>
          <w:noProof/>
        </w:rPr>
        <w:fldChar w:fldCharType="separate"/>
      </w:r>
      <w:r>
        <w:rPr>
          <w:noProof/>
        </w:rPr>
        <w:t>8</w:t>
      </w:r>
      <w:r>
        <w:rPr>
          <w:noProof/>
        </w:rPr>
        <w:fldChar w:fldCharType="end"/>
      </w:r>
    </w:p>
    <w:p w14:paraId="187CA723" w14:textId="77777777" w:rsidR="002823E9" w:rsidRPr="0029020E" w:rsidRDefault="002823E9">
      <w:pPr>
        <w:pStyle w:val="TOC2"/>
        <w:tabs>
          <w:tab w:val="left" w:pos="1077"/>
        </w:tabs>
        <w:rPr>
          <w:rFonts w:ascii="Calibri" w:hAnsi="Calibri"/>
          <w:noProof/>
          <w:szCs w:val="22"/>
          <w:lang w:eastAsia="en-GB"/>
        </w:rPr>
      </w:pPr>
      <w:r>
        <w:rPr>
          <w:noProof/>
        </w:rPr>
        <w:t>6.4.</w:t>
      </w:r>
      <w:r w:rsidRPr="0029020E">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_Toc438131786 \h </w:instrText>
      </w:r>
      <w:r>
        <w:rPr>
          <w:noProof/>
        </w:rPr>
      </w:r>
      <w:r>
        <w:rPr>
          <w:noProof/>
        </w:rPr>
        <w:fldChar w:fldCharType="separate"/>
      </w:r>
      <w:r>
        <w:rPr>
          <w:noProof/>
        </w:rPr>
        <w:t>8</w:t>
      </w:r>
      <w:r>
        <w:rPr>
          <w:noProof/>
        </w:rPr>
        <w:fldChar w:fldCharType="end"/>
      </w:r>
    </w:p>
    <w:p w14:paraId="01249BFF" w14:textId="77777777" w:rsidR="002823E9" w:rsidRPr="0029020E" w:rsidRDefault="002823E9">
      <w:pPr>
        <w:pStyle w:val="TOC2"/>
        <w:tabs>
          <w:tab w:val="left" w:pos="1077"/>
        </w:tabs>
        <w:rPr>
          <w:rFonts w:ascii="Calibri" w:hAnsi="Calibri"/>
          <w:noProof/>
          <w:szCs w:val="22"/>
          <w:lang w:eastAsia="en-GB"/>
        </w:rPr>
      </w:pPr>
      <w:r>
        <w:rPr>
          <w:noProof/>
        </w:rPr>
        <w:t>6.5.</w:t>
      </w:r>
      <w:r w:rsidRPr="0029020E">
        <w:rPr>
          <w:rFonts w:ascii="Calibri" w:hAnsi="Calibri"/>
          <w:noProof/>
          <w:szCs w:val="22"/>
          <w:lang w:eastAsia="en-GB"/>
        </w:rPr>
        <w:tab/>
      </w:r>
      <w:r>
        <w:rPr>
          <w:noProof/>
        </w:rPr>
        <w:t>Incidental expenditure</w:t>
      </w:r>
      <w:r>
        <w:rPr>
          <w:noProof/>
        </w:rPr>
        <w:tab/>
      </w:r>
      <w:r>
        <w:rPr>
          <w:noProof/>
        </w:rPr>
        <w:fldChar w:fldCharType="begin"/>
      </w:r>
      <w:r>
        <w:rPr>
          <w:noProof/>
        </w:rPr>
        <w:instrText xml:space="preserve"> PAGEREF _Toc438131787 \h </w:instrText>
      </w:r>
      <w:r>
        <w:rPr>
          <w:noProof/>
        </w:rPr>
      </w:r>
      <w:r>
        <w:rPr>
          <w:noProof/>
        </w:rPr>
        <w:fldChar w:fldCharType="separate"/>
      </w:r>
      <w:r>
        <w:rPr>
          <w:noProof/>
        </w:rPr>
        <w:t>8</w:t>
      </w:r>
      <w:r>
        <w:rPr>
          <w:noProof/>
        </w:rPr>
        <w:fldChar w:fldCharType="end"/>
      </w:r>
    </w:p>
    <w:p w14:paraId="7481348A" w14:textId="77777777" w:rsidR="002823E9" w:rsidRPr="0029020E" w:rsidRDefault="002823E9">
      <w:pPr>
        <w:pStyle w:val="TOC2"/>
        <w:tabs>
          <w:tab w:val="left" w:pos="1077"/>
        </w:tabs>
        <w:rPr>
          <w:rFonts w:ascii="Calibri" w:hAnsi="Calibri"/>
          <w:noProof/>
          <w:szCs w:val="22"/>
          <w:lang w:eastAsia="en-GB"/>
        </w:rPr>
      </w:pPr>
      <w:r>
        <w:rPr>
          <w:noProof/>
        </w:rPr>
        <w:t>6.6.</w:t>
      </w:r>
      <w:r w:rsidRPr="0029020E">
        <w:rPr>
          <w:rFonts w:ascii="Calibri" w:hAnsi="Calibri"/>
          <w:noProof/>
          <w:szCs w:val="22"/>
          <w:lang w:eastAsia="en-GB"/>
        </w:rPr>
        <w:tab/>
      </w:r>
      <w:r>
        <w:rPr>
          <w:noProof/>
        </w:rPr>
        <w:t>Lump sums</w:t>
      </w:r>
      <w:r>
        <w:rPr>
          <w:noProof/>
        </w:rPr>
        <w:tab/>
      </w:r>
      <w:r>
        <w:rPr>
          <w:noProof/>
        </w:rPr>
        <w:fldChar w:fldCharType="begin"/>
      </w:r>
      <w:r>
        <w:rPr>
          <w:noProof/>
        </w:rPr>
        <w:instrText xml:space="preserve"> PAGEREF _Toc438131788 \h </w:instrText>
      </w:r>
      <w:r>
        <w:rPr>
          <w:noProof/>
        </w:rPr>
      </w:r>
      <w:r>
        <w:rPr>
          <w:noProof/>
        </w:rPr>
        <w:fldChar w:fldCharType="separate"/>
      </w:r>
      <w:r>
        <w:rPr>
          <w:noProof/>
        </w:rPr>
        <w:t>9</w:t>
      </w:r>
      <w:r>
        <w:rPr>
          <w:noProof/>
        </w:rPr>
        <w:fldChar w:fldCharType="end"/>
      </w:r>
    </w:p>
    <w:p w14:paraId="1BC98719" w14:textId="77777777" w:rsidR="002823E9" w:rsidRPr="0029020E" w:rsidRDefault="002823E9">
      <w:pPr>
        <w:pStyle w:val="TOC2"/>
        <w:tabs>
          <w:tab w:val="left" w:pos="1077"/>
        </w:tabs>
        <w:rPr>
          <w:rFonts w:ascii="Calibri" w:hAnsi="Calibri"/>
          <w:noProof/>
          <w:szCs w:val="22"/>
          <w:lang w:eastAsia="en-GB"/>
        </w:rPr>
      </w:pPr>
      <w:r>
        <w:rPr>
          <w:noProof/>
        </w:rPr>
        <w:t>6.7.</w:t>
      </w:r>
      <w:r w:rsidRPr="0029020E">
        <w:rPr>
          <w:rFonts w:ascii="Calibri" w:hAnsi="Calibri"/>
          <w:noProof/>
          <w:szCs w:val="22"/>
          <w:lang w:eastAsia="en-GB"/>
        </w:rPr>
        <w:tab/>
      </w:r>
      <w:r>
        <w:rPr>
          <w:noProof/>
        </w:rPr>
        <w:t>Expenditure verification</w:t>
      </w:r>
      <w:r>
        <w:rPr>
          <w:noProof/>
        </w:rPr>
        <w:tab/>
      </w:r>
      <w:r>
        <w:rPr>
          <w:noProof/>
        </w:rPr>
        <w:fldChar w:fldCharType="begin"/>
      </w:r>
      <w:r>
        <w:rPr>
          <w:noProof/>
        </w:rPr>
        <w:instrText xml:space="preserve"> PAGEREF _Toc438131789 \h </w:instrText>
      </w:r>
      <w:r>
        <w:rPr>
          <w:noProof/>
        </w:rPr>
      </w:r>
      <w:r>
        <w:rPr>
          <w:noProof/>
        </w:rPr>
        <w:fldChar w:fldCharType="separate"/>
      </w:r>
      <w:r>
        <w:rPr>
          <w:noProof/>
        </w:rPr>
        <w:t>10</w:t>
      </w:r>
      <w:r>
        <w:rPr>
          <w:noProof/>
        </w:rPr>
        <w:fldChar w:fldCharType="end"/>
      </w:r>
    </w:p>
    <w:p w14:paraId="1D509DEE" w14:textId="77777777" w:rsidR="002823E9" w:rsidRPr="0029020E" w:rsidRDefault="002823E9">
      <w:pPr>
        <w:pStyle w:val="TOC1"/>
        <w:rPr>
          <w:rFonts w:ascii="Calibri" w:hAnsi="Calibri"/>
          <w:b w:val="0"/>
          <w:caps w:val="0"/>
          <w:noProof/>
          <w:szCs w:val="22"/>
          <w:lang w:eastAsia="en-GB"/>
        </w:rPr>
      </w:pPr>
      <w:r>
        <w:rPr>
          <w:noProof/>
        </w:rPr>
        <w:t>7.</w:t>
      </w:r>
      <w:r w:rsidRPr="0029020E">
        <w:rPr>
          <w:rFonts w:ascii="Calibri" w:hAnsi="Calibri"/>
          <w:b w:val="0"/>
          <w:caps w:val="0"/>
          <w:noProof/>
          <w:szCs w:val="22"/>
          <w:lang w:eastAsia="en-GB"/>
        </w:rPr>
        <w:tab/>
      </w:r>
      <w:r>
        <w:rPr>
          <w:noProof/>
        </w:rPr>
        <w:t>REPORTS</w:t>
      </w:r>
      <w:r>
        <w:rPr>
          <w:noProof/>
        </w:rPr>
        <w:tab/>
      </w:r>
      <w:r>
        <w:rPr>
          <w:noProof/>
        </w:rPr>
        <w:fldChar w:fldCharType="begin"/>
      </w:r>
      <w:r>
        <w:rPr>
          <w:noProof/>
        </w:rPr>
        <w:instrText xml:space="preserve"> PAGEREF _Toc438131790 \h </w:instrText>
      </w:r>
      <w:r>
        <w:rPr>
          <w:noProof/>
        </w:rPr>
      </w:r>
      <w:r>
        <w:rPr>
          <w:noProof/>
        </w:rPr>
        <w:fldChar w:fldCharType="separate"/>
      </w:r>
      <w:r>
        <w:rPr>
          <w:noProof/>
        </w:rPr>
        <w:t>10</w:t>
      </w:r>
      <w:r>
        <w:rPr>
          <w:noProof/>
        </w:rPr>
        <w:fldChar w:fldCharType="end"/>
      </w:r>
    </w:p>
    <w:p w14:paraId="38C770C1" w14:textId="77777777" w:rsidR="002823E9" w:rsidRPr="0029020E" w:rsidRDefault="002823E9">
      <w:pPr>
        <w:pStyle w:val="TOC2"/>
        <w:tabs>
          <w:tab w:val="left" w:pos="1077"/>
        </w:tabs>
        <w:rPr>
          <w:rFonts w:ascii="Calibri" w:hAnsi="Calibri"/>
          <w:noProof/>
          <w:szCs w:val="22"/>
          <w:lang w:eastAsia="en-GB"/>
        </w:rPr>
      </w:pPr>
      <w:r>
        <w:rPr>
          <w:noProof/>
        </w:rPr>
        <w:t>7.1.</w:t>
      </w:r>
      <w:r w:rsidRPr="0029020E">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_Toc438131791 \h </w:instrText>
      </w:r>
      <w:r>
        <w:rPr>
          <w:noProof/>
        </w:rPr>
      </w:r>
      <w:r>
        <w:rPr>
          <w:noProof/>
        </w:rPr>
        <w:fldChar w:fldCharType="separate"/>
      </w:r>
      <w:r>
        <w:rPr>
          <w:noProof/>
        </w:rPr>
        <w:t>10</w:t>
      </w:r>
      <w:r>
        <w:rPr>
          <w:noProof/>
        </w:rPr>
        <w:fldChar w:fldCharType="end"/>
      </w:r>
    </w:p>
    <w:p w14:paraId="563D65EB" w14:textId="77777777" w:rsidR="002823E9" w:rsidRPr="0029020E" w:rsidRDefault="002823E9">
      <w:pPr>
        <w:pStyle w:val="TOC2"/>
        <w:tabs>
          <w:tab w:val="left" w:pos="1077"/>
        </w:tabs>
        <w:rPr>
          <w:rFonts w:ascii="Calibri" w:hAnsi="Calibri"/>
          <w:noProof/>
          <w:szCs w:val="22"/>
          <w:lang w:eastAsia="en-GB"/>
        </w:rPr>
      </w:pPr>
      <w:r>
        <w:rPr>
          <w:noProof/>
        </w:rPr>
        <w:t>7.2.</w:t>
      </w:r>
      <w:r w:rsidRPr="0029020E">
        <w:rPr>
          <w:rFonts w:ascii="Calibri" w:hAnsi="Calibri"/>
          <w:noProof/>
          <w:szCs w:val="22"/>
          <w:lang w:eastAsia="en-GB"/>
        </w:rPr>
        <w:tab/>
      </w:r>
      <w:r>
        <w:rPr>
          <w:noProof/>
        </w:rPr>
        <w:t>Submission &amp; approval of reports</w:t>
      </w:r>
      <w:r>
        <w:rPr>
          <w:noProof/>
        </w:rPr>
        <w:tab/>
      </w:r>
      <w:r>
        <w:rPr>
          <w:noProof/>
        </w:rPr>
        <w:fldChar w:fldCharType="begin"/>
      </w:r>
      <w:r>
        <w:rPr>
          <w:noProof/>
        </w:rPr>
        <w:instrText xml:space="preserve"> PAGEREF _Toc438131792 \h </w:instrText>
      </w:r>
      <w:r>
        <w:rPr>
          <w:noProof/>
        </w:rPr>
      </w:r>
      <w:r>
        <w:rPr>
          <w:noProof/>
        </w:rPr>
        <w:fldChar w:fldCharType="separate"/>
      </w:r>
      <w:r>
        <w:rPr>
          <w:noProof/>
        </w:rPr>
        <w:t>11</w:t>
      </w:r>
      <w:r>
        <w:rPr>
          <w:noProof/>
        </w:rPr>
        <w:fldChar w:fldCharType="end"/>
      </w:r>
    </w:p>
    <w:p w14:paraId="0C7BBEFE" w14:textId="77777777" w:rsidR="002823E9" w:rsidRPr="0029020E" w:rsidRDefault="002823E9">
      <w:pPr>
        <w:pStyle w:val="TOC1"/>
        <w:rPr>
          <w:rFonts w:ascii="Calibri" w:hAnsi="Calibri"/>
          <w:b w:val="0"/>
          <w:caps w:val="0"/>
          <w:noProof/>
          <w:szCs w:val="22"/>
          <w:lang w:eastAsia="en-GB"/>
        </w:rPr>
      </w:pPr>
      <w:r>
        <w:rPr>
          <w:noProof/>
        </w:rPr>
        <w:t>8.</w:t>
      </w:r>
      <w:r w:rsidRPr="0029020E">
        <w:rPr>
          <w:rFonts w:ascii="Calibri" w:hAnsi="Calibri"/>
          <w:b w:val="0"/>
          <w:caps w:val="0"/>
          <w:noProof/>
          <w:szCs w:val="22"/>
          <w:lang w:eastAsia="en-GB"/>
        </w:rPr>
        <w:tab/>
      </w:r>
      <w:r>
        <w:rPr>
          <w:noProof/>
        </w:rPr>
        <w:t>MONITORING AND EVALUATION</w:t>
      </w:r>
      <w:r>
        <w:rPr>
          <w:noProof/>
        </w:rPr>
        <w:tab/>
      </w:r>
      <w:r>
        <w:rPr>
          <w:noProof/>
        </w:rPr>
        <w:fldChar w:fldCharType="begin"/>
      </w:r>
      <w:r>
        <w:rPr>
          <w:noProof/>
        </w:rPr>
        <w:instrText xml:space="preserve"> PAGEREF _Toc438131793 \h </w:instrText>
      </w:r>
      <w:r>
        <w:rPr>
          <w:noProof/>
        </w:rPr>
      </w:r>
      <w:r>
        <w:rPr>
          <w:noProof/>
        </w:rPr>
        <w:fldChar w:fldCharType="separate"/>
      </w:r>
      <w:r>
        <w:rPr>
          <w:noProof/>
        </w:rPr>
        <w:t>11</w:t>
      </w:r>
      <w:r>
        <w:rPr>
          <w:noProof/>
        </w:rPr>
        <w:fldChar w:fldCharType="end"/>
      </w:r>
    </w:p>
    <w:p w14:paraId="025AC8DB" w14:textId="77777777" w:rsidR="002823E9" w:rsidRPr="0029020E" w:rsidRDefault="002823E9">
      <w:pPr>
        <w:pStyle w:val="TOC2"/>
        <w:tabs>
          <w:tab w:val="left" w:pos="1077"/>
        </w:tabs>
        <w:rPr>
          <w:rFonts w:ascii="Calibri" w:hAnsi="Calibri"/>
          <w:noProof/>
          <w:szCs w:val="22"/>
          <w:lang w:eastAsia="en-GB"/>
        </w:rPr>
      </w:pPr>
      <w:r>
        <w:rPr>
          <w:noProof/>
        </w:rPr>
        <w:t>8.1.</w:t>
      </w:r>
      <w:r w:rsidRPr="0029020E">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_Toc438131794 \h </w:instrText>
      </w:r>
      <w:r>
        <w:rPr>
          <w:noProof/>
        </w:rPr>
      </w:r>
      <w:r>
        <w:rPr>
          <w:noProof/>
        </w:rPr>
        <w:fldChar w:fldCharType="separate"/>
      </w:r>
      <w:r>
        <w:rPr>
          <w:noProof/>
        </w:rPr>
        <w:t>11</w:t>
      </w:r>
      <w:r>
        <w:rPr>
          <w:noProof/>
        </w:rPr>
        <w:fldChar w:fldCharType="end"/>
      </w:r>
    </w:p>
    <w:p w14:paraId="6FD81DF9" w14:textId="1E58AF70" w:rsidR="002823E9" w:rsidRDefault="002823E9">
      <w:pPr>
        <w:pStyle w:val="TOC2"/>
        <w:tabs>
          <w:tab w:val="left" w:pos="1077"/>
        </w:tabs>
        <w:rPr>
          <w:noProof/>
        </w:rPr>
      </w:pPr>
      <w:r>
        <w:rPr>
          <w:noProof/>
        </w:rPr>
        <w:t>8.2.</w:t>
      </w:r>
      <w:r w:rsidRPr="0029020E">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_Toc438131795 \h </w:instrText>
      </w:r>
      <w:r>
        <w:rPr>
          <w:noProof/>
        </w:rPr>
      </w:r>
      <w:r>
        <w:rPr>
          <w:noProof/>
        </w:rPr>
        <w:fldChar w:fldCharType="separate"/>
      </w:r>
      <w:r>
        <w:rPr>
          <w:noProof/>
        </w:rPr>
        <w:t>11</w:t>
      </w:r>
      <w:r>
        <w:rPr>
          <w:noProof/>
        </w:rPr>
        <w:fldChar w:fldCharType="end"/>
      </w:r>
    </w:p>
    <w:p w14:paraId="4B4F2352" w14:textId="360ACD24" w:rsidR="008B52A7" w:rsidRDefault="008B52A7" w:rsidP="008B52A7">
      <w:pPr>
        <w:rPr>
          <w:lang w:eastAsia="en-US"/>
        </w:rPr>
      </w:pPr>
    </w:p>
    <w:p w14:paraId="576CBB70" w14:textId="015F9DF8" w:rsidR="008B52A7" w:rsidRDefault="008B52A7" w:rsidP="008B52A7">
      <w:pPr>
        <w:rPr>
          <w:lang w:eastAsia="en-US"/>
        </w:rPr>
      </w:pPr>
    </w:p>
    <w:p w14:paraId="4C3BE43F" w14:textId="77777777" w:rsidR="008B52A7" w:rsidRPr="008B52A7" w:rsidRDefault="008B52A7" w:rsidP="008B52A7">
      <w:pPr>
        <w:rPr>
          <w:lang w:eastAsia="en-US"/>
        </w:rPr>
      </w:pPr>
    </w:p>
    <w:p w14:paraId="5102BDF0" w14:textId="77777777" w:rsidR="00BB1BED" w:rsidRPr="00287A5B" w:rsidRDefault="00BB1BED" w:rsidP="00BB1BED">
      <w:pPr>
        <w:pStyle w:val="Heading1"/>
        <w:keepLines/>
      </w:pPr>
      <w:r w:rsidRPr="00287A5B">
        <w:rPr>
          <w:caps/>
          <w:kern w:val="0"/>
          <w:sz w:val="22"/>
          <w:szCs w:val="22"/>
          <w:lang w:eastAsia="en-US"/>
        </w:rPr>
        <w:lastRenderedPageBreak/>
        <w:fldChar w:fldCharType="end"/>
      </w:r>
      <w:bookmarkStart w:id="0" w:name="_Toc438131762"/>
      <w:r w:rsidRPr="00287A5B">
        <w:t>BACKGROUND INFORMATION</w:t>
      </w:r>
      <w:bookmarkEnd w:id="0"/>
    </w:p>
    <w:p w14:paraId="713D80EB" w14:textId="77777777" w:rsidR="00BB1BED" w:rsidRPr="00DD5FEC" w:rsidRDefault="00F95F2E" w:rsidP="00150137">
      <w:pPr>
        <w:pStyle w:val="Heading2"/>
        <w:rPr>
          <w:sz w:val="22"/>
          <w:szCs w:val="22"/>
        </w:rPr>
      </w:pPr>
      <w:bookmarkStart w:id="1" w:name="_Toc438131763"/>
      <w:r w:rsidRPr="00DD5FEC">
        <w:rPr>
          <w:sz w:val="22"/>
          <w:szCs w:val="22"/>
        </w:rPr>
        <w:t>Partner country</w:t>
      </w:r>
      <w:bookmarkEnd w:id="1"/>
    </w:p>
    <w:p w14:paraId="5F87A451" w14:textId="4F891856" w:rsidR="00BB1BED" w:rsidRPr="00DD5FEC" w:rsidRDefault="0023362E" w:rsidP="006E2226">
      <w:pPr>
        <w:keepNext/>
        <w:keepLines/>
        <w:rPr>
          <w:rFonts w:ascii="Times New Roman" w:hAnsi="Times New Roman"/>
          <w:sz w:val="22"/>
          <w:szCs w:val="22"/>
        </w:rPr>
      </w:pPr>
      <w:r w:rsidRPr="00DD5FEC">
        <w:rPr>
          <w:rFonts w:ascii="Times New Roman" w:hAnsi="Times New Roman"/>
          <w:sz w:val="22"/>
          <w:szCs w:val="22"/>
        </w:rPr>
        <w:t>Montenegro</w:t>
      </w:r>
    </w:p>
    <w:p w14:paraId="71B79575" w14:textId="77777777" w:rsidR="00BB1BED" w:rsidRPr="00DD5FEC" w:rsidRDefault="00BB1BED" w:rsidP="00150137">
      <w:pPr>
        <w:pStyle w:val="Heading2"/>
        <w:rPr>
          <w:sz w:val="22"/>
          <w:szCs w:val="22"/>
        </w:rPr>
      </w:pPr>
      <w:bookmarkStart w:id="2" w:name="_Toc438131764"/>
      <w:r w:rsidRPr="00DD5FEC">
        <w:rPr>
          <w:sz w:val="22"/>
          <w:szCs w:val="22"/>
        </w:rPr>
        <w:t xml:space="preserve">Contracting </w:t>
      </w:r>
      <w:r w:rsidR="00213767" w:rsidRPr="00DD5FEC">
        <w:rPr>
          <w:sz w:val="22"/>
          <w:szCs w:val="22"/>
        </w:rPr>
        <w:t>a</w:t>
      </w:r>
      <w:r w:rsidRPr="00DD5FEC">
        <w:rPr>
          <w:sz w:val="22"/>
          <w:szCs w:val="22"/>
        </w:rPr>
        <w:t>uthority</w:t>
      </w:r>
      <w:bookmarkEnd w:id="2"/>
    </w:p>
    <w:p w14:paraId="2AEDA822" w14:textId="4C822664" w:rsidR="00BB1BED" w:rsidRPr="00DD5FEC" w:rsidRDefault="0023362E" w:rsidP="00BB1BED">
      <w:pPr>
        <w:rPr>
          <w:rFonts w:ascii="Times New Roman" w:hAnsi="Times New Roman"/>
          <w:sz w:val="22"/>
          <w:szCs w:val="22"/>
        </w:rPr>
      </w:pPr>
      <w:r w:rsidRPr="00DD5FEC">
        <w:rPr>
          <w:rFonts w:ascii="Times New Roman" w:hAnsi="Times New Roman"/>
          <w:sz w:val="22"/>
          <w:szCs w:val="22"/>
        </w:rPr>
        <w:t>EU Delegation to Montenegro</w:t>
      </w:r>
    </w:p>
    <w:p w14:paraId="7A57F94A" w14:textId="77777777" w:rsidR="00BB1BED" w:rsidRPr="00DD5FEC" w:rsidRDefault="00BB1BED" w:rsidP="00150137">
      <w:pPr>
        <w:pStyle w:val="Heading2"/>
        <w:rPr>
          <w:sz w:val="22"/>
          <w:szCs w:val="22"/>
        </w:rPr>
      </w:pPr>
      <w:bookmarkStart w:id="3" w:name="_Toc438131765"/>
      <w:r w:rsidRPr="00DD5FEC">
        <w:rPr>
          <w:sz w:val="22"/>
          <w:szCs w:val="22"/>
        </w:rPr>
        <w:t>Country background</w:t>
      </w:r>
      <w:bookmarkEnd w:id="3"/>
    </w:p>
    <w:p w14:paraId="76406A0D" w14:textId="108DC564" w:rsidR="00D13DF0" w:rsidRPr="00DD5FEC" w:rsidRDefault="008B52A7" w:rsidP="008B52A7">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t>On the economic criteria, Montenegro has made good progress and is moderately prepared in developing a functioning market economy</w:t>
      </w:r>
      <w:r w:rsidRPr="00DD5FEC">
        <w:rPr>
          <w:rStyle w:val="FootnoteReference"/>
          <w:rFonts w:ascii="Times New Roman" w:hAnsi="Times New Roman"/>
          <w:sz w:val="22"/>
          <w:szCs w:val="22"/>
        </w:rPr>
        <w:footnoteReference w:id="1"/>
      </w:r>
      <w:r w:rsidRPr="00DD5FEC">
        <w:rPr>
          <w:rFonts w:ascii="Times New Roman" w:hAnsi="Times New Roman"/>
          <w:sz w:val="22"/>
          <w:szCs w:val="22"/>
        </w:rPr>
        <w:t xml:space="preserve">. After experiencing a sharp recession in 2020, the economy recorded a strong rebound in 2021 and kept growing at a steady pace in the first half of 2022 as the removal of COVID-19 restrictions </w:t>
      </w:r>
      <w:r w:rsidR="00102F14" w:rsidRPr="00DD5FEC">
        <w:rPr>
          <w:rFonts w:ascii="Times New Roman" w:hAnsi="Times New Roman"/>
          <w:sz w:val="22"/>
          <w:szCs w:val="22"/>
        </w:rPr>
        <w:t>raised</w:t>
      </w:r>
      <w:r w:rsidRPr="00DD5FEC">
        <w:rPr>
          <w:rFonts w:ascii="Times New Roman" w:hAnsi="Times New Roman"/>
          <w:sz w:val="22"/>
          <w:szCs w:val="22"/>
        </w:rPr>
        <w:t xml:space="preserve"> domestic and external demand. </w:t>
      </w:r>
      <w:r w:rsidR="00D13DF0" w:rsidRPr="00DD5FEC">
        <w:rPr>
          <w:rFonts w:ascii="Times New Roman" w:hAnsi="Times New Roman"/>
          <w:sz w:val="22"/>
          <w:szCs w:val="22"/>
        </w:rPr>
        <w:t xml:space="preserve"> To support citizens and the economy, </w:t>
      </w:r>
      <w:r w:rsidR="00102F14" w:rsidRPr="00DD5FEC">
        <w:rPr>
          <w:rFonts w:ascii="Times New Roman" w:hAnsi="Times New Roman"/>
          <w:sz w:val="22"/>
          <w:szCs w:val="22"/>
        </w:rPr>
        <w:t xml:space="preserve">national </w:t>
      </w:r>
      <w:r w:rsidR="00D13DF0" w:rsidRPr="00DD5FEC">
        <w:rPr>
          <w:rFonts w:ascii="Times New Roman" w:hAnsi="Times New Roman"/>
          <w:sz w:val="22"/>
          <w:szCs w:val="22"/>
        </w:rPr>
        <w:t xml:space="preserve">authorities implemented several economic support packages. These measures were of a temporary character. In spite of </w:t>
      </w:r>
      <w:r w:rsidR="00102F14" w:rsidRPr="00DD5FEC">
        <w:rPr>
          <w:rFonts w:ascii="Times New Roman" w:hAnsi="Times New Roman"/>
          <w:sz w:val="22"/>
          <w:szCs w:val="22"/>
        </w:rPr>
        <w:t>delays,</w:t>
      </w:r>
      <w:r w:rsidR="00D13DF0" w:rsidRPr="00DD5FEC">
        <w:rPr>
          <w:rFonts w:ascii="Times New Roman" w:hAnsi="Times New Roman"/>
          <w:sz w:val="22"/>
          <w:szCs w:val="22"/>
        </w:rPr>
        <w:t xml:space="preserve"> the government continued implementing </w:t>
      </w:r>
      <w:r w:rsidR="00102F14" w:rsidRPr="00DD5FEC">
        <w:rPr>
          <w:rFonts w:ascii="Times New Roman" w:hAnsi="Times New Roman"/>
          <w:sz w:val="22"/>
          <w:szCs w:val="22"/>
        </w:rPr>
        <w:t>part</w:t>
      </w:r>
      <w:r w:rsidR="00D13DF0" w:rsidRPr="00DD5FEC">
        <w:rPr>
          <w:rFonts w:ascii="Times New Roman" w:hAnsi="Times New Roman"/>
          <w:sz w:val="22"/>
          <w:szCs w:val="22"/>
        </w:rPr>
        <w:t xml:space="preserve"> of the envisaged reforms to improve the business environment.</w:t>
      </w:r>
    </w:p>
    <w:p w14:paraId="4D4267FC" w14:textId="77777777" w:rsidR="00102F14" w:rsidRPr="00DD5FEC" w:rsidRDefault="00102F14" w:rsidP="008B52A7">
      <w:pPr>
        <w:autoSpaceDE w:val="0"/>
        <w:autoSpaceDN w:val="0"/>
        <w:adjustRightInd w:val="0"/>
        <w:spacing w:after="0"/>
        <w:rPr>
          <w:rFonts w:ascii="Times New Roman" w:hAnsi="Times New Roman"/>
          <w:sz w:val="22"/>
          <w:szCs w:val="22"/>
        </w:rPr>
      </w:pPr>
    </w:p>
    <w:p w14:paraId="36B2A51B" w14:textId="1A5D0550" w:rsidR="004F0DF4" w:rsidRPr="00DD5FEC" w:rsidRDefault="004F0DF4" w:rsidP="004F0DF4">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t xml:space="preserve">Montenegro has made some progress and is moderately prepared to cope with competitive pressure and market forces within the EU. In addition, the low value added of domestic products, the small size of local companies and low level of participation in exports represent obstacles for increasing the productivity and competitiveness of local firms.  </w:t>
      </w:r>
    </w:p>
    <w:p w14:paraId="5F75FCDA" w14:textId="77777777" w:rsidR="004F0DF4" w:rsidRPr="00DD5FEC" w:rsidRDefault="004F0DF4" w:rsidP="004F0DF4">
      <w:pPr>
        <w:autoSpaceDE w:val="0"/>
        <w:autoSpaceDN w:val="0"/>
        <w:adjustRightInd w:val="0"/>
        <w:spacing w:after="0"/>
        <w:rPr>
          <w:rFonts w:ascii="Times New Roman" w:hAnsi="Times New Roman"/>
          <w:sz w:val="22"/>
          <w:szCs w:val="22"/>
        </w:rPr>
      </w:pPr>
    </w:p>
    <w:p w14:paraId="1658F28F" w14:textId="29B93B0B" w:rsidR="006E6933" w:rsidRPr="00DD5FEC" w:rsidRDefault="006E6933" w:rsidP="006E6933">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t xml:space="preserve">On enterprise and industrial policy instruments, the implementation of different programmes for the development of entrepreneurship and private sector continued under the overarching Programme for Improving the Competitiveness of the Economy. The financial allocations were reduced in 2021 because of the phase-out of temporary COVID-19 support and amounted to EUR 3 million overall. </w:t>
      </w:r>
      <w:r w:rsidR="007533D7" w:rsidRPr="00DD5FEC">
        <w:rPr>
          <w:rFonts w:ascii="Times New Roman" w:hAnsi="Times New Roman"/>
          <w:sz w:val="22"/>
          <w:szCs w:val="22"/>
        </w:rPr>
        <w:t xml:space="preserve">Ministry of Economic Development and Tourism launched Programme for Improving the Competitiveness of the Economy for 2022 with the total budget of </w:t>
      </w:r>
      <w:r w:rsidR="003E4509" w:rsidRPr="00DD5FEC">
        <w:rPr>
          <w:rFonts w:ascii="Times New Roman" w:hAnsi="Times New Roman"/>
          <w:sz w:val="22"/>
          <w:szCs w:val="22"/>
        </w:rPr>
        <w:t>EUR 4 million.</w:t>
      </w:r>
      <w:r w:rsidR="007533D7" w:rsidRPr="00DD5FEC">
        <w:rPr>
          <w:rFonts w:ascii="Times New Roman" w:hAnsi="Times New Roman"/>
          <w:sz w:val="22"/>
          <w:szCs w:val="22"/>
        </w:rPr>
        <w:t xml:space="preserve">  </w:t>
      </w:r>
      <w:r w:rsidRPr="00DD5FEC">
        <w:rPr>
          <w:rFonts w:ascii="Times New Roman" w:hAnsi="Times New Roman"/>
          <w:sz w:val="22"/>
          <w:szCs w:val="22"/>
        </w:rPr>
        <w:t>Businesses were consulted prior to the adoption of the Programme, and the whole application process was digitalised. A single on-line</w:t>
      </w:r>
      <w:r w:rsidR="004F0DF4" w:rsidRPr="00DD5FEC">
        <w:rPr>
          <w:rFonts w:ascii="Times New Roman" w:hAnsi="Times New Roman"/>
          <w:sz w:val="22"/>
          <w:szCs w:val="22"/>
        </w:rPr>
        <w:t xml:space="preserve"> </w:t>
      </w:r>
      <w:r w:rsidRPr="00DD5FEC">
        <w:rPr>
          <w:rFonts w:ascii="Times New Roman" w:hAnsi="Times New Roman"/>
          <w:sz w:val="22"/>
          <w:szCs w:val="22"/>
        </w:rPr>
        <w:t>portal for SME support (Single Access Point; www.biznis.gov.me) was launched in June 2022, which will provide all necessary information and contacts regarding advice and assistance for businesses. As of May 2022, 410 public services were available on the e</w:t>
      </w:r>
      <w:r w:rsidR="004F0DF4" w:rsidRPr="00DD5FEC">
        <w:rPr>
          <w:rFonts w:ascii="Times New Roman" w:hAnsi="Times New Roman"/>
          <w:sz w:val="22"/>
          <w:szCs w:val="22"/>
        </w:rPr>
        <w:t>-</w:t>
      </w:r>
      <w:r w:rsidRPr="00DD5FEC">
        <w:rPr>
          <w:rFonts w:ascii="Times New Roman" w:hAnsi="Times New Roman"/>
          <w:sz w:val="22"/>
          <w:szCs w:val="22"/>
        </w:rPr>
        <w:t>government Portal, of which 99 were</w:t>
      </w:r>
      <w:r w:rsidR="004F0DF4" w:rsidRPr="00DD5FEC">
        <w:rPr>
          <w:rFonts w:ascii="Times New Roman" w:hAnsi="Times New Roman"/>
          <w:sz w:val="22"/>
          <w:szCs w:val="22"/>
        </w:rPr>
        <w:t xml:space="preserve"> </w:t>
      </w:r>
      <w:r w:rsidRPr="00DD5FEC">
        <w:rPr>
          <w:rFonts w:ascii="Times New Roman" w:hAnsi="Times New Roman"/>
          <w:sz w:val="22"/>
          <w:szCs w:val="22"/>
        </w:rPr>
        <w:t>interactive and 311 informational.</w:t>
      </w:r>
      <w:r w:rsidR="002632A5" w:rsidRPr="00DD5FEC">
        <w:rPr>
          <w:rFonts w:ascii="Times New Roman" w:hAnsi="Times New Roman"/>
          <w:sz w:val="22"/>
          <w:szCs w:val="22"/>
        </w:rPr>
        <w:t xml:space="preserve"> </w:t>
      </w:r>
      <w:r w:rsidR="001C151A" w:rsidRPr="00DD5FEC">
        <w:rPr>
          <w:rFonts w:ascii="Times New Roman" w:hAnsi="Times New Roman"/>
          <w:sz w:val="22"/>
          <w:szCs w:val="22"/>
        </w:rPr>
        <w:t xml:space="preserve">Due to </w:t>
      </w:r>
      <w:r w:rsidR="007C55E2" w:rsidRPr="00DD5FEC">
        <w:rPr>
          <w:rFonts w:ascii="Times New Roman" w:hAnsi="Times New Roman"/>
          <w:sz w:val="22"/>
          <w:szCs w:val="22"/>
        </w:rPr>
        <w:t xml:space="preserve">recent </w:t>
      </w:r>
      <w:r w:rsidR="001C151A" w:rsidRPr="00DD5FEC">
        <w:rPr>
          <w:rFonts w:ascii="Times New Roman" w:hAnsi="Times New Roman"/>
          <w:sz w:val="22"/>
          <w:szCs w:val="22"/>
        </w:rPr>
        <w:t xml:space="preserve">cyber-attack on the government servers, the portal is not fully operational. </w:t>
      </w:r>
      <w:r w:rsidR="002632A5" w:rsidRPr="00DD5FEC">
        <w:rPr>
          <w:rFonts w:ascii="Times New Roman" w:hAnsi="Times New Roman"/>
          <w:sz w:val="22"/>
          <w:szCs w:val="22"/>
        </w:rPr>
        <w:t>One of the recommendations made is referring to continuation of implementing digital services for micro, small and medium enterprises and prioritise the development and implementation of interactive e-government platform for transactional electronic services</w:t>
      </w:r>
      <w:r w:rsidR="00422584" w:rsidRPr="00DD5FEC">
        <w:rPr>
          <w:rFonts w:ascii="Times New Roman" w:hAnsi="Times New Roman"/>
          <w:sz w:val="22"/>
          <w:szCs w:val="22"/>
        </w:rPr>
        <w:t>.</w:t>
      </w:r>
    </w:p>
    <w:p w14:paraId="026B7B70" w14:textId="77777777" w:rsidR="006E6933" w:rsidRPr="00DD5FEC" w:rsidRDefault="006E6933" w:rsidP="0023362E">
      <w:pPr>
        <w:autoSpaceDE w:val="0"/>
        <w:autoSpaceDN w:val="0"/>
        <w:adjustRightInd w:val="0"/>
        <w:spacing w:after="0"/>
        <w:rPr>
          <w:rFonts w:ascii="Times New Roman" w:hAnsi="Times New Roman"/>
          <w:sz w:val="22"/>
          <w:szCs w:val="22"/>
        </w:rPr>
      </w:pPr>
    </w:p>
    <w:p w14:paraId="746AE68F" w14:textId="75AF1545" w:rsidR="00937E95" w:rsidRPr="00DD5FEC" w:rsidRDefault="0023362E" w:rsidP="0023362E">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t>Concerning SMEs, EC sees simpler approach to financing as crucial for increasing competitiveness with particular emphasis to increase of exports. According to the</w:t>
      </w:r>
      <w:r w:rsidRPr="00DD5FEC">
        <w:rPr>
          <w:rFonts w:ascii="Times New Roman" w:eastAsia="Calibri" w:hAnsi="Times New Roman"/>
          <w:sz w:val="22"/>
          <w:szCs w:val="22"/>
          <w:lang w:eastAsia="en-US"/>
        </w:rPr>
        <w:t xml:space="preserve"> </w:t>
      </w:r>
      <w:r w:rsidRPr="00DD5FEC">
        <w:rPr>
          <w:rFonts w:ascii="Times New Roman" w:hAnsi="Times New Roman"/>
          <w:b/>
          <w:sz w:val="22"/>
          <w:szCs w:val="22"/>
        </w:rPr>
        <w:t>Small Business Act (SBA)</w:t>
      </w:r>
      <w:r w:rsidRPr="00DD5FEC">
        <w:rPr>
          <w:rFonts w:ascii="Times New Roman" w:eastAsia="Calibri" w:hAnsi="Times New Roman"/>
          <w:sz w:val="22"/>
          <w:szCs w:val="22"/>
          <w:lang w:eastAsia="en-US"/>
        </w:rPr>
        <w:t xml:space="preserve"> economy profile accompanied by </w:t>
      </w:r>
      <w:r w:rsidRPr="00DD5FEC">
        <w:rPr>
          <w:rFonts w:ascii="Times New Roman" w:eastAsia="Calibri" w:hAnsi="Times New Roman"/>
          <w:i/>
          <w:sz w:val="22"/>
          <w:szCs w:val="22"/>
          <w:lang w:eastAsia="en-US"/>
        </w:rPr>
        <w:t>SME Policy Index 20</w:t>
      </w:r>
      <w:r w:rsidR="00102F14" w:rsidRPr="00DD5FEC">
        <w:rPr>
          <w:rFonts w:ascii="Times New Roman" w:eastAsia="Calibri" w:hAnsi="Times New Roman"/>
          <w:i/>
          <w:sz w:val="22"/>
          <w:szCs w:val="22"/>
          <w:lang w:eastAsia="en-US"/>
        </w:rPr>
        <w:t>22</w:t>
      </w:r>
      <w:r w:rsidR="00F95C02" w:rsidRPr="00DD5FEC">
        <w:rPr>
          <w:rStyle w:val="FootnoteReference"/>
          <w:rFonts w:ascii="Times New Roman" w:eastAsia="Calibri" w:hAnsi="Times New Roman"/>
          <w:i/>
          <w:sz w:val="22"/>
          <w:szCs w:val="22"/>
          <w:lang w:eastAsia="en-US"/>
        </w:rPr>
        <w:footnoteReference w:id="2"/>
      </w:r>
      <w:r w:rsidRPr="00DD5FEC">
        <w:rPr>
          <w:rFonts w:ascii="Times New Roman" w:eastAsia="Calibri" w:hAnsi="Times New Roman"/>
          <w:i/>
          <w:sz w:val="22"/>
          <w:szCs w:val="22"/>
          <w:lang w:eastAsia="en-US"/>
        </w:rPr>
        <w:t>: Western Balkans and Turkey</w:t>
      </w:r>
      <w:r w:rsidRPr="00DD5FEC">
        <w:rPr>
          <w:rFonts w:ascii="Times New Roman" w:hAnsi="Times New Roman"/>
          <w:sz w:val="22"/>
          <w:szCs w:val="22"/>
        </w:rPr>
        <w:t xml:space="preserve">), </w:t>
      </w:r>
      <w:r w:rsidR="00937E95" w:rsidRPr="00DD5FEC">
        <w:rPr>
          <w:rFonts w:ascii="Times New Roman" w:hAnsi="Times New Roman"/>
          <w:sz w:val="22"/>
          <w:szCs w:val="22"/>
        </w:rPr>
        <w:t>Montenegro has made progress in implementing the Small Business Act (SBA) since the publication of the previous report – the SME Policy Index: Western Balkans and Turkey 2019. The economy continues to provide an environment conducive to business and is receptive to the needs of small and medium-sized enterprises (SMEs). Montenegro has achieved its highest average scores in the following areas: entrepreneurial learning and women entrepreneurship; institutional and regulatory framework for SME policy making; support services for SMEs; public procurement; and SMEs in a green economy, where it also outperforms the Western Balkan and Turkey’s average.</w:t>
      </w:r>
    </w:p>
    <w:p w14:paraId="5D9CE327" w14:textId="77777777" w:rsidR="00937E95" w:rsidRPr="00DD5FEC" w:rsidRDefault="00937E95" w:rsidP="0023362E">
      <w:pPr>
        <w:autoSpaceDE w:val="0"/>
        <w:autoSpaceDN w:val="0"/>
        <w:adjustRightInd w:val="0"/>
        <w:spacing w:after="0"/>
        <w:rPr>
          <w:rFonts w:ascii="Times New Roman" w:hAnsi="Times New Roman"/>
          <w:sz w:val="22"/>
          <w:szCs w:val="22"/>
        </w:rPr>
      </w:pPr>
    </w:p>
    <w:p w14:paraId="3BF24522" w14:textId="29677520" w:rsidR="00A84719" w:rsidRPr="00DD5FEC" w:rsidRDefault="00A84719" w:rsidP="0023362E">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lastRenderedPageBreak/>
        <w:t>It is expected that the tourism sector will continue with recovery in the next medium-term period, while the recovery of public and private investments is also expected as the pandemic fades-out. In the longer run, Montenegro has a sizeable potential for growth not only in tourism sector, but also in energy sector, agriculture, and ICT sector.</w:t>
      </w:r>
    </w:p>
    <w:p w14:paraId="70D9CD2A" w14:textId="77777777" w:rsidR="00937E95" w:rsidRPr="00DD5FEC" w:rsidRDefault="00937E95" w:rsidP="0023362E">
      <w:pPr>
        <w:autoSpaceDE w:val="0"/>
        <w:autoSpaceDN w:val="0"/>
        <w:adjustRightInd w:val="0"/>
        <w:spacing w:after="0"/>
        <w:rPr>
          <w:rFonts w:ascii="Times New Roman" w:hAnsi="Times New Roman"/>
          <w:sz w:val="22"/>
          <w:szCs w:val="22"/>
        </w:rPr>
      </w:pPr>
    </w:p>
    <w:p w14:paraId="1B93105E" w14:textId="616D6A61" w:rsidR="0023362E" w:rsidRPr="00DD5FEC" w:rsidRDefault="00A84719" w:rsidP="006E2226">
      <w:pPr>
        <w:rPr>
          <w:rFonts w:ascii="Times New Roman" w:hAnsi="Times New Roman"/>
          <w:sz w:val="22"/>
          <w:szCs w:val="22"/>
        </w:rPr>
      </w:pPr>
      <w:r w:rsidRPr="00DD5FEC">
        <w:rPr>
          <w:rFonts w:ascii="Times New Roman" w:hAnsi="Times New Roman"/>
          <w:sz w:val="22"/>
          <w:szCs w:val="22"/>
        </w:rPr>
        <w:t>Against the challenges Montenegro is facing on its path to sustainable development and growth, while adhering to five key principles the Government is basing its work on (Rule of Law and Equal Opportunities, Sound Finances and Economic Development, Health and Healthy Living Environment, Education and Knowledge-based Society, and Digital Society), the strategic objective of Montenegro for the next period is to design and implement digitally based, greener, stronger, and more resilient economic recovery and growth, by diversifying the economy. To that end, Economic Reform Programme 2022-2024</w:t>
      </w:r>
      <w:r w:rsidRPr="00DD5FEC">
        <w:rPr>
          <w:rStyle w:val="FootnoteReference"/>
          <w:rFonts w:ascii="Times New Roman" w:hAnsi="Times New Roman"/>
          <w:sz w:val="22"/>
          <w:szCs w:val="22"/>
        </w:rPr>
        <w:footnoteReference w:id="3"/>
      </w:r>
      <w:r w:rsidRPr="00DD5FEC">
        <w:rPr>
          <w:rFonts w:ascii="Times New Roman" w:hAnsi="Times New Roman"/>
          <w:sz w:val="22"/>
          <w:szCs w:val="22"/>
        </w:rPr>
        <w:t xml:space="preserve"> sets an ambitious, but also a realistic set of reforms and investments, in order to achieve smart, sustainable and inclusive economic growth which will contribute to improvement of quality of life of all its citizens.</w:t>
      </w:r>
      <w:r w:rsidR="003E4509" w:rsidRPr="00DD5FEC">
        <w:rPr>
          <w:rFonts w:ascii="Times New Roman" w:hAnsi="Times New Roman"/>
          <w:sz w:val="22"/>
          <w:szCs w:val="22"/>
        </w:rPr>
        <w:t xml:space="preserve"> The process of drafting Economic Reform Programme 2023-2025 is ongoing </w:t>
      </w:r>
      <w:r w:rsidR="00517D2E" w:rsidRPr="00DD5FEC">
        <w:rPr>
          <w:rFonts w:ascii="Times New Roman" w:hAnsi="Times New Roman"/>
          <w:sz w:val="22"/>
          <w:szCs w:val="22"/>
        </w:rPr>
        <w:t>and it expected to be adopted in February 2023.</w:t>
      </w:r>
    </w:p>
    <w:p w14:paraId="236A769F" w14:textId="0C0138C2" w:rsidR="00074D75" w:rsidRPr="00DD5FEC" w:rsidRDefault="00074D75" w:rsidP="00074D75">
      <w:pPr>
        <w:rPr>
          <w:rFonts w:ascii="Times New Roman" w:hAnsi="Times New Roman"/>
          <w:sz w:val="22"/>
          <w:szCs w:val="22"/>
        </w:rPr>
      </w:pPr>
      <w:r w:rsidRPr="00DD5FEC">
        <w:rPr>
          <w:rFonts w:ascii="Times New Roman" w:hAnsi="Times New Roman"/>
          <w:sz w:val="22"/>
          <w:szCs w:val="22"/>
        </w:rPr>
        <w:t>According to the Sustainable Development Report 2021</w:t>
      </w:r>
      <w:r w:rsidRPr="00DD5FEC">
        <w:rPr>
          <w:rStyle w:val="FootnoteReference"/>
          <w:rFonts w:ascii="Times New Roman" w:hAnsi="Times New Roman"/>
          <w:sz w:val="22"/>
          <w:szCs w:val="22"/>
        </w:rPr>
        <w:footnoteReference w:id="4"/>
      </w:r>
      <w:r w:rsidRPr="00DD5FEC">
        <w:rPr>
          <w:rFonts w:ascii="Times New Roman" w:hAnsi="Times New Roman"/>
          <w:sz w:val="22"/>
          <w:szCs w:val="22"/>
        </w:rPr>
        <w:t>, the significant challenges remain for Montenegro and removing obstacles to competitiveness of the Montenegrin economy is an important prerequisite for sustainable and inclusive economic growth and is crucial for reaching the sustainable development goals (SDGs).</w:t>
      </w:r>
    </w:p>
    <w:p w14:paraId="134308B4" w14:textId="77777777" w:rsidR="00826133" w:rsidRPr="00DD5FEC" w:rsidRDefault="0023362E" w:rsidP="0023362E">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t>The new methodology for measuring transitional progress towards sustainable economy</w:t>
      </w:r>
      <w:r w:rsidRPr="00DD5FEC">
        <w:rPr>
          <w:rStyle w:val="FootnoteReference"/>
          <w:rFonts w:ascii="Times New Roman" w:hAnsi="Times New Roman"/>
          <w:sz w:val="22"/>
          <w:szCs w:val="22"/>
        </w:rPr>
        <w:footnoteReference w:id="5"/>
      </w:r>
      <w:r w:rsidRPr="00DD5FEC">
        <w:rPr>
          <w:rFonts w:ascii="Times New Roman" w:hAnsi="Times New Roman"/>
          <w:sz w:val="22"/>
          <w:szCs w:val="22"/>
        </w:rPr>
        <w:t xml:space="preserve"> by EBRD categorizes Montenegrin economy as a country with a moderate transitional gap with the 5.4 scale rate. According to this assessment, Montenegro should make further improvements to competitiveness, green economy and good governance</w:t>
      </w:r>
    </w:p>
    <w:p w14:paraId="1BD62291" w14:textId="56BFB301" w:rsidR="0023362E" w:rsidRPr="00DD5FEC" w:rsidRDefault="0023362E" w:rsidP="0023362E">
      <w:pPr>
        <w:autoSpaceDE w:val="0"/>
        <w:autoSpaceDN w:val="0"/>
        <w:adjustRightInd w:val="0"/>
        <w:spacing w:after="0"/>
        <w:rPr>
          <w:rFonts w:ascii="Times New Roman" w:hAnsi="Times New Roman"/>
          <w:sz w:val="22"/>
          <w:szCs w:val="22"/>
        </w:rPr>
      </w:pPr>
      <w:r w:rsidRPr="00DD5FEC">
        <w:rPr>
          <w:rFonts w:ascii="Times New Roman" w:hAnsi="Times New Roman"/>
          <w:sz w:val="22"/>
          <w:szCs w:val="22"/>
        </w:rPr>
        <w:t xml:space="preserve">. </w:t>
      </w:r>
    </w:p>
    <w:p w14:paraId="14348AA6" w14:textId="3F312661" w:rsidR="004F62C3" w:rsidRPr="00DD5FEC" w:rsidRDefault="00CC0F6B" w:rsidP="00F16F8A">
      <w:pPr>
        <w:rPr>
          <w:rFonts w:ascii="Times New Roman" w:hAnsi="Times New Roman"/>
          <w:sz w:val="22"/>
          <w:szCs w:val="22"/>
        </w:rPr>
      </w:pPr>
      <w:r w:rsidRPr="00DD5FEC">
        <w:rPr>
          <w:rFonts w:ascii="Times New Roman" w:hAnsi="Times New Roman"/>
          <w:sz w:val="22"/>
          <w:szCs w:val="22"/>
        </w:rPr>
        <w:t>BA</w:t>
      </w:r>
      <w:r w:rsidR="0086006C" w:rsidRPr="00DD5FEC">
        <w:rPr>
          <w:rFonts w:ascii="Times New Roman" w:hAnsi="Times New Roman"/>
          <w:sz w:val="22"/>
          <w:szCs w:val="22"/>
        </w:rPr>
        <w:t xml:space="preserve">S </w:t>
      </w:r>
      <w:r w:rsidR="00186185" w:rsidRPr="00DD5FEC">
        <w:rPr>
          <w:rFonts w:ascii="Times New Roman" w:hAnsi="Times New Roman"/>
          <w:sz w:val="22"/>
          <w:szCs w:val="22"/>
        </w:rPr>
        <w:t>is</w:t>
      </w:r>
      <w:r w:rsidR="0086006C" w:rsidRPr="00DD5FEC">
        <w:rPr>
          <w:rFonts w:ascii="Times New Roman" w:hAnsi="Times New Roman"/>
          <w:sz w:val="22"/>
          <w:szCs w:val="22"/>
        </w:rPr>
        <w:t xml:space="preserve"> a very important means of supporting the development of SMEs, which are known to create employment, generate income and contribute to economic development and growth. Employment and income generation are particularly important as far as impoverished </w:t>
      </w:r>
      <w:r w:rsidR="00F16F8A" w:rsidRPr="00DD5FEC">
        <w:rPr>
          <w:rFonts w:ascii="Times New Roman" w:hAnsi="Times New Roman"/>
          <w:sz w:val="22"/>
          <w:szCs w:val="22"/>
        </w:rPr>
        <w:t>less developed</w:t>
      </w:r>
      <w:r w:rsidR="0086006C" w:rsidRPr="00DD5FEC">
        <w:rPr>
          <w:rFonts w:ascii="Times New Roman" w:hAnsi="Times New Roman"/>
          <w:sz w:val="22"/>
          <w:szCs w:val="22"/>
        </w:rPr>
        <w:t xml:space="preserve"> areas, vulnerable communities and groups are concerned. </w:t>
      </w:r>
      <w:r w:rsidRPr="00DD5FEC">
        <w:rPr>
          <w:rFonts w:ascii="Times New Roman" w:hAnsi="Times New Roman"/>
          <w:sz w:val="22"/>
          <w:szCs w:val="22"/>
        </w:rPr>
        <w:t>In this sense, supporting B</w:t>
      </w:r>
      <w:r w:rsidR="00186185" w:rsidRPr="00DD5FEC">
        <w:rPr>
          <w:rFonts w:ascii="Times New Roman" w:hAnsi="Times New Roman"/>
          <w:sz w:val="22"/>
          <w:szCs w:val="22"/>
        </w:rPr>
        <w:t>D</w:t>
      </w:r>
      <w:r w:rsidR="0086006C" w:rsidRPr="00DD5FEC">
        <w:rPr>
          <w:rFonts w:ascii="Times New Roman" w:hAnsi="Times New Roman"/>
          <w:sz w:val="22"/>
          <w:szCs w:val="22"/>
        </w:rPr>
        <w:t>S is an important means of achieving the</w:t>
      </w:r>
      <w:r w:rsidR="00F16F8A" w:rsidRPr="00DD5FEC">
        <w:rPr>
          <w:rFonts w:ascii="Times New Roman" w:hAnsi="Times New Roman"/>
          <w:sz w:val="22"/>
          <w:szCs w:val="22"/>
        </w:rPr>
        <w:t xml:space="preserve"> Sustainable Development Goals</w:t>
      </w:r>
      <w:r w:rsidR="004F0DF4" w:rsidRPr="00DD5FEC">
        <w:rPr>
          <w:rFonts w:ascii="Times New Roman" w:hAnsi="Times New Roman"/>
          <w:sz w:val="22"/>
          <w:szCs w:val="22"/>
        </w:rPr>
        <w:t>.</w:t>
      </w:r>
    </w:p>
    <w:p w14:paraId="4CE033CF" w14:textId="77777777" w:rsidR="00BB1BED" w:rsidRPr="00DD5FEC" w:rsidRDefault="00BB1BED" w:rsidP="00150137">
      <w:pPr>
        <w:pStyle w:val="Heading2"/>
        <w:rPr>
          <w:sz w:val="22"/>
          <w:szCs w:val="22"/>
        </w:rPr>
      </w:pPr>
      <w:bookmarkStart w:id="4" w:name="_Toc438131766"/>
      <w:r w:rsidRPr="00DD5FEC">
        <w:rPr>
          <w:sz w:val="22"/>
          <w:szCs w:val="22"/>
        </w:rPr>
        <w:t>Current situation in the sector</w:t>
      </w:r>
      <w:bookmarkEnd w:id="4"/>
    </w:p>
    <w:p w14:paraId="33CA3D0D" w14:textId="013E631C" w:rsidR="0023362E" w:rsidRPr="00DD5FEC" w:rsidRDefault="004F62C3" w:rsidP="009846CF">
      <w:pPr>
        <w:pStyle w:val="ListBullet"/>
        <w:numPr>
          <w:ilvl w:val="0"/>
          <w:numId w:val="0"/>
        </w:numPr>
        <w:rPr>
          <w:rFonts w:eastAsia="Calibri"/>
          <w:sz w:val="22"/>
          <w:szCs w:val="22"/>
        </w:rPr>
      </w:pPr>
      <w:r w:rsidRPr="00DD5FEC">
        <w:rPr>
          <w:sz w:val="22"/>
          <w:szCs w:val="22"/>
        </w:rPr>
        <w:t>Small and medium-sized enterprises (SMEs) play a crucial role in Montenegrin economy. They account for 99% of total number of enterprises in Montenegro generating approximately 60% of GDP and providing 60% of employment. Nevertheless, the SMEs sector in Montenegro faces many weaknesses, which prevent it from developing its full potential in terms of employment, productivity and value added. Although access to finance remains a key obstacle to the development of the SME sector, l</w:t>
      </w:r>
      <w:r w:rsidRPr="00DD5FEC">
        <w:rPr>
          <w:rFonts w:eastAsia="Calibri"/>
          <w:sz w:val="22"/>
          <w:szCs w:val="22"/>
        </w:rPr>
        <w:t xml:space="preserve">ack of competitiveness is another key challenge, with SMEs being </w:t>
      </w:r>
      <w:r w:rsidR="00826133" w:rsidRPr="00DD5FEC">
        <w:rPr>
          <w:rFonts w:eastAsia="Calibri"/>
          <w:sz w:val="22"/>
          <w:szCs w:val="22"/>
        </w:rPr>
        <w:t xml:space="preserve">up the wall </w:t>
      </w:r>
      <w:r w:rsidRPr="00DD5FEC">
        <w:rPr>
          <w:rFonts w:eastAsia="Calibri"/>
          <w:sz w:val="22"/>
          <w:szCs w:val="22"/>
        </w:rPr>
        <w:t xml:space="preserve">by the lack of management skills, technical and operational expertise and sound corporate governance.  </w:t>
      </w:r>
    </w:p>
    <w:p w14:paraId="17AC57C1" w14:textId="0DD55D34" w:rsidR="004F62C3" w:rsidRPr="00DD5FEC" w:rsidRDefault="0023362E" w:rsidP="004F62C3">
      <w:pPr>
        <w:autoSpaceDE w:val="0"/>
        <w:autoSpaceDN w:val="0"/>
        <w:adjustRightInd w:val="0"/>
        <w:spacing w:after="0"/>
        <w:rPr>
          <w:rFonts w:ascii="Times New Roman" w:eastAsia="Arial Unicode MS" w:hAnsi="Times New Roman"/>
          <w:sz w:val="22"/>
          <w:szCs w:val="22"/>
          <w:lang w:eastAsia="de-DE"/>
        </w:rPr>
      </w:pPr>
      <w:r w:rsidRPr="00DD5FEC">
        <w:rPr>
          <w:rFonts w:ascii="Times New Roman" w:hAnsi="Times New Roman"/>
          <w:sz w:val="22"/>
          <w:szCs w:val="22"/>
        </w:rPr>
        <w:t xml:space="preserve">The main challenges </w:t>
      </w:r>
      <w:r w:rsidR="004F0DF4" w:rsidRPr="00DD5FEC">
        <w:rPr>
          <w:rFonts w:ascii="Times New Roman" w:hAnsi="Times New Roman"/>
          <w:sz w:val="22"/>
          <w:szCs w:val="22"/>
        </w:rPr>
        <w:t>M</w:t>
      </w:r>
      <w:r w:rsidRPr="00DD5FEC">
        <w:rPr>
          <w:rFonts w:ascii="Times New Roman" w:hAnsi="Times New Roman"/>
          <w:sz w:val="22"/>
          <w:szCs w:val="22"/>
        </w:rPr>
        <w:t>SMEs are facing</w:t>
      </w:r>
      <w:r w:rsidR="004F62C3" w:rsidRPr="00DD5FEC">
        <w:rPr>
          <w:rFonts w:ascii="Times New Roman" w:hAnsi="Times New Roman"/>
          <w:sz w:val="22"/>
          <w:szCs w:val="22"/>
        </w:rPr>
        <w:t xml:space="preserve"> in </w:t>
      </w:r>
      <w:r w:rsidR="00EA0DE0" w:rsidRPr="00DD5FEC">
        <w:rPr>
          <w:rFonts w:ascii="Times New Roman" w:hAnsi="Times New Roman"/>
          <w:sz w:val="22"/>
          <w:szCs w:val="22"/>
        </w:rPr>
        <w:t>Montenegro</w:t>
      </w:r>
      <w:r w:rsidRPr="00DD5FEC">
        <w:rPr>
          <w:rFonts w:ascii="Times New Roman" w:hAnsi="Times New Roman"/>
          <w:sz w:val="22"/>
          <w:szCs w:val="22"/>
        </w:rPr>
        <w:t xml:space="preserve"> are: lack of product development and innovation, lack of access to affordable finance, lack of skills and available advice to run more effectively their businesses, including in areas such as cash and financial management. Limitation in management in particular related to financial management, is one of the major impediments to private sector growth. Significant progress has been achieved in inventiveness for development of MSME, however assessments resulting from communication with the European Commission and feedback received from MSMEs sector, indicate the need for further improvement of MSMEs development </w:t>
      </w:r>
      <w:r w:rsidRPr="00DD5FEC">
        <w:rPr>
          <w:rFonts w:ascii="Times New Roman" w:hAnsi="Times New Roman"/>
          <w:sz w:val="22"/>
          <w:szCs w:val="22"/>
        </w:rPr>
        <w:lastRenderedPageBreak/>
        <w:t xml:space="preserve">policies by (i) further improvement of the business environment; (ii) cooperation between all institutions at the national and local level, including the enhancement of the institutional framework for the support to SMEs; </w:t>
      </w:r>
      <w:r w:rsidR="00826133" w:rsidRPr="00DD5FEC">
        <w:rPr>
          <w:rFonts w:ascii="Times New Roman" w:hAnsi="Times New Roman"/>
          <w:sz w:val="22"/>
          <w:szCs w:val="22"/>
        </w:rPr>
        <w:t xml:space="preserve">and </w:t>
      </w:r>
      <w:r w:rsidRPr="00DD5FEC">
        <w:rPr>
          <w:rFonts w:ascii="Times New Roman" w:hAnsi="Times New Roman"/>
          <w:sz w:val="22"/>
          <w:szCs w:val="22"/>
        </w:rPr>
        <w:t>(iii) facilitating the access to SME funds and the use of new instruments; (iv) improvement of competitiveness and innovativeness of enterprises by facilitating the acquisition of</w:t>
      </w:r>
      <w:r w:rsidR="004F62C3" w:rsidRPr="00DD5FEC">
        <w:rPr>
          <w:rFonts w:ascii="Times New Roman" w:hAnsi="Times New Roman"/>
          <w:sz w:val="22"/>
          <w:szCs w:val="22"/>
        </w:rPr>
        <w:t xml:space="preserve"> </w:t>
      </w:r>
      <w:r w:rsidR="004F62C3" w:rsidRPr="00DD5FEC">
        <w:rPr>
          <w:rFonts w:ascii="Times New Roman" w:eastAsia="Arial Unicode MS" w:hAnsi="Times New Roman"/>
          <w:sz w:val="22"/>
          <w:szCs w:val="22"/>
          <w:lang w:eastAsia="de-DE"/>
        </w:rPr>
        <w:t>different types of knowledge and skills by the management and employees and close cooperation of SMEs with research and development centres; (v) implementation of specific, targeted SME support programmes in accordance with their expressed needs (certification of  quality standards, technology transfer, e-commerce development, promotion and development of new products and services, development of supply chain and clusters, strengthening the access to foreign markets, etc.); (v) promotion of entrepreneurship within specific target groups (women, youth).</w:t>
      </w:r>
    </w:p>
    <w:p w14:paraId="0F64DE92" w14:textId="446B77BD" w:rsidR="00D21D22" w:rsidRPr="00DD5FEC" w:rsidRDefault="009846CF" w:rsidP="00D21D22">
      <w:pPr>
        <w:widowControl w:val="0"/>
        <w:autoSpaceDE w:val="0"/>
        <w:autoSpaceDN w:val="0"/>
        <w:adjustRightInd w:val="0"/>
        <w:spacing w:before="120" w:after="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The development of the private sector requires a suitable financial framework for SMEs access to funding models in accordance with the real needs. In Montenegro, although the </w:t>
      </w:r>
      <w:r w:rsidRPr="00DD5FEC">
        <w:rPr>
          <w:rFonts w:ascii="Times New Roman" w:hAnsi="Times New Roman"/>
          <w:sz w:val="22"/>
          <w:szCs w:val="22"/>
        </w:rPr>
        <w:t>financial assistance to SMEs is available through several credit lines of the Investment Development Fund (IDF)</w:t>
      </w:r>
      <w:r w:rsidRPr="00DD5FEC">
        <w:rPr>
          <w:rFonts w:ascii="Times New Roman" w:hAnsi="Times New Roman"/>
          <w:sz w:val="22"/>
          <w:szCs w:val="22"/>
          <w:vertAlign w:val="superscript"/>
        </w:rPr>
        <w:footnoteReference w:id="6"/>
      </w:r>
      <w:r w:rsidRPr="00DD5FEC">
        <w:rPr>
          <w:rFonts w:ascii="Times New Roman" w:hAnsi="Times New Roman"/>
          <w:sz w:val="22"/>
          <w:szCs w:val="22"/>
        </w:rPr>
        <w:t xml:space="preserve">,  commercial banks and through the microfinance lending facilities in Montenegro, access to finance needs to be continuously improved. Business angels' funding and venture capital funding are practically non-existent. Loans arising from the few microfinance-lending facilities are scarce and expensive. The use of equity financing for innovative start-ups and SMEs is at starting point and readiness of companies in using </w:t>
      </w:r>
      <w:r w:rsidR="00186185" w:rsidRPr="00DD5FEC">
        <w:rPr>
          <w:rFonts w:ascii="Times New Roman" w:hAnsi="Times New Roman"/>
          <w:sz w:val="22"/>
          <w:szCs w:val="22"/>
        </w:rPr>
        <w:t>this financial instrument</w:t>
      </w:r>
      <w:r w:rsidRPr="00DD5FEC">
        <w:rPr>
          <w:rFonts w:ascii="Times New Roman" w:hAnsi="Times New Roman"/>
          <w:sz w:val="22"/>
          <w:szCs w:val="22"/>
        </w:rPr>
        <w:t xml:space="preserve"> is not recognized and implemented.</w:t>
      </w:r>
      <w:r w:rsidRPr="00DD5FEC">
        <w:rPr>
          <w:rFonts w:ascii="Times New Roman" w:eastAsia="Arial Unicode MS" w:hAnsi="Times New Roman"/>
          <w:sz w:val="22"/>
          <w:szCs w:val="22"/>
          <w:vertAlign w:val="superscript"/>
          <w:lang w:eastAsia="de-DE"/>
        </w:rPr>
        <w:t xml:space="preserve"> </w:t>
      </w:r>
      <w:r w:rsidRPr="00DD5FEC">
        <w:rPr>
          <w:rFonts w:ascii="Times New Roman" w:eastAsia="Arial Unicode MS" w:hAnsi="Times New Roman"/>
          <w:sz w:val="22"/>
          <w:szCs w:val="22"/>
          <w:vertAlign w:val="superscript"/>
          <w:lang w:eastAsia="de-DE"/>
        </w:rPr>
        <w:footnoteReference w:id="7"/>
      </w:r>
      <w:r w:rsidRPr="00DD5FEC">
        <w:rPr>
          <w:rFonts w:ascii="Times New Roman" w:eastAsia="Arial Unicode MS" w:hAnsi="Times New Roman"/>
          <w:sz w:val="22"/>
          <w:szCs w:val="22"/>
          <w:lang w:eastAsia="de-DE"/>
        </w:rPr>
        <w:t xml:space="preserve">  Support for the MSMEs will focus on further improvements of the possibility to provide financial assistance for strengthening innovation, grouping clusters, introducing international standards and strengthening support for setting up enterprises and ensurin</w:t>
      </w:r>
      <w:r w:rsidR="00D21D22" w:rsidRPr="00DD5FEC">
        <w:rPr>
          <w:rFonts w:ascii="Times New Roman" w:eastAsia="Arial Unicode MS" w:hAnsi="Times New Roman"/>
          <w:sz w:val="22"/>
          <w:szCs w:val="22"/>
          <w:lang w:eastAsia="de-DE"/>
        </w:rPr>
        <w:t xml:space="preserve">g smooth business development. </w:t>
      </w:r>
    </w:p>
    <w:p w14:paraId="3EAC2476" w14:textId="77777777" w:rsidR="00D21D22" w:rsidRPr="00DD5FEC" w:rsidRDefault="00D21D22" w:rsidP="00D21D22">
      <w:pPr>
        <w:widowControl w:val="0"/>
        <w:autoSpaceDE w:val="0"/>
        <w:autoSpaceDN w:val="0"/>
        <w:adjustRightInd w:val="0"/>
        <w:spacing w:after="0"/>
        <w:rPr>
          <w:rFonts w:ascii="Times New Roman" w:hAnsi="Times New Roman"/>
          <w:sz w:val="22"/>
          <w:szCs w:val="22"/>
        </w:rPr>
      </w:pPr>
    </w:p>
    <w:p w14:paraId="327C7593" w14:textId="3BB994BB" w:rsidR="009846CF" w:rsidRPr="00DD5FEC" w:rsidRDefault="009846CF" w:rsidP="009846CF">
      <w:pPr>
        <w:widowControl w:val="0"/>
        <w:tabs>
          <w:tab w:val="left" w:pos="220"/>
          <w:tab w:val="left" w:pos="720"/>
        </w:tabs>
        <w:autoSpaceDE w:val="0"/>
        <w:autoSpaceDN w:val="0"/>
        <w:adjustRightInd w:val="0"/>
        <w:spacing w:before="120" w:after="20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Delivery of business services and promoting cooperation and business connectivity among SMEs through clustering and networking can facilitate adoption of innovative standards and increase competitiveness in particular through assisting access to international markets. On the regional </w:t>
      </w:r>
      <w:r w:rsidR="00D21D22" w:rsidRPr="00DD5FEC">
        <w:rPr>
          <w:rFonts w:ascii="Times New Roman" w:eastAsia="Arial Unicode MS" w:hAnsi="Times New Roman"/>
          <w:sz w:val="22"/>
          <w:szCs w:val="22"/>
          <w:lang w:eastAsia="de-DE"/>
        </w:rPr>
        <w:t>level, Western</w:t>
      </w:r>
      <w:r w:rsidRPr="00DD5FEC">
        <w:rPr>
          <w:rFonts w:ascii="Times New Roman" w:eastAsia="Arial Unicode MS" w:hAnsi="Times New Roman"/>
          <w:sz w:val="22"/>
          <w:szCs w:val="22"/>
          <w:lang w:eastAsia="de-DE"/>
        </w:rPr>
        <w:t xml:space="preserve"> Balkans Chamber Investment Forum (WB CIF) is platform for cooperation and collaboration between all chambers of economy of the region focused on removing obstacles to economic regional integration and sustainable development of the Western Balkans in the context of the EU integration. The Office of the Secretary General of the WB CIF at the Chamber of Economy of Montenegro was opened</w:t>
      </w:r>
      <w:r w:rsidR="00517D2E" w:rsidRPr="00DD5FEC">
        <w:rPr>
          <w:rFonts w:ascii="Times New Roman" w:eastAsia="Arial Unicode MS" w:hAnsi="Times New Roman"/>
          <w:sz w:val="22"/>
          <w:szCs w:val="22"/>
          <w:lang w:eastAsia="de-DE"/>
        </w:rPr>
        <w:t xml:space="preserve"> in 201</w:t>
      </w:r>
      <w:r w:rsidR="00412B3C" w:rsidRPr="00DD5FEC">
        <w:rPr>
          <w:rFonts w:ascii="Times New Roman" w:eastAsia="Arial Unicode MS" w:hAnsi="Times New Roman"/>
          <w:sz w:val="22"/>
          <w:szCs w:val="22"/>
          <w:lang w:eastAsia="de-DE"/>
        </w:rPr>
        <w:t>9</w:t>
      </w:r>
      <w:r w:rsidRPr="00DD5FEC">
        <w:rPr>
          <w:rFonts w:ascii="Times New Roman" w:eastAsia="Arial Unicode MS" w:hAnsi="Times New Roman"/>
          <w:sz w:val="22"/>
          <w:szCs w:val="22"/>
          <w:lang w:eastAsia="de-DE"/>
        </w:rPr>
        <w:t xml:space="preserve"> </w:t>
      </w:r>
      <w:r w:rsidRPr="00DD5FEC">
        <w:rPr>
          <w:rFonts w:ascii="Times New Roman" w:eastAsia="Arial Unicode MS" w:hAnsi="Times New Roman"/>
          <w:sz w:val="22"/>
          <w:szCs w:val="22"/>
          <w:lang w:val="en-US" w:eastAsia="de-DE"/>
        </w:rPr>
        <w:t xml:space="preserve">in order to </w:t>
      </w:r>
      <w:r w:rsidRPr="00DD5FEC">
        <w:rPr>
          <w:rFonts w:ascii="Times New Roman" w:eastAsia="Arial Unicode MS" w:hAnsi="Times New Roman"/>
          <w:sz w:val="22"/>
          <w:szCs w:val="22"/>
          <w:lang w:eastAsia="de-DE"/>
        </w:rPr>
        <w:t>enhance development of the competitiveness of the regional economy through the inter-chamber actions, cooperation and alignment of activities by offering specific products to the companies, which would stimulate their operations, joint projects and business internationalization.</w:t>
      </w:r>
    </w:p>
    <w:p w14:paraId="223D2EA2" w14:textId="3B5CCF07" w:rsidR="00D21D22" w:rsidRPr="00DD5FEC" w:rsidRDefault="00D21D22" w:rsidP="008409FC">
      <w:pPr>
        <w:pStyle w:val="ListBullet"/>
        <w:numPr>
          <w:ilvl w:val="0"/>
          <w:numId w:val="0"/>
        </w:numPr>
        <w:spacing w:after="0"/>
        <w:ind w:firstLine="1"/>
        <w:rPr>
          <w:sz w:val="22"/>
          <w:szCs w:val="22"/>
        </w:rPr>
      </w:pPr>
      <w:r w:rsidRPr="00DD5FEC">
        <w:rPr>
          <w:sz w:val="22"/>
          <w:szCs w:val="22"/>
        </w:rPr>
        <w:t>The main constraints to SME development in Montenegro: lack of a robust institutional environment for SME policy making (lack of an SME</w:t>
      </w:r>
      <w:r w:rsidR="00EA19FE" w:rsidRPr="00DD5FEC">
        <w:rPr>
          <w:sz w:val="22"/>
          <w:szCs w:val="22"/>
        </w:rPr>
        <w:t>-dedicated institution</w:t>
      </w:r>
      <w:r w:rsidR="004D224C" w:rsidRPr="00DD5FEC">
        <w:rPr>
          <w:sz w:val="22"/>
          <w:szCs w:val="22"/>
        </w:rPr>
        <w:t>/</w:t>
      </w:r>
      <w:r w:rsidRPr="00DD5FEC">
        <w:rPr>
          <w:sz w:val="22"/>
          <w:szCs w:val="22"/>
        </w:rPr>
        <w:t xml:space="preserve">agency); legal and regulatory bottlenecks for access to finance (high collateral requirements and limited sources of finance beyond large state-owned banks); and limited enterprise skills and support services for SMEs and start-ups (lacking a concerted and strategic, </w:t>
      </w:r>
      <w:r w:rsidR="00186185" w:rsidRPr="00DD5FEC">
        <w:rPr>
          <w:sz w:val="22"/>
          <w:szCs w:val="22"/>
        </w:rPr>
        <w:t>market-oriented</w:t>
      </w:r>
      <w:r w:rsidRPr="00DD5FEC">
        <w:rPr>
          <w:sz w:val="22"/>
          <w:szCs w:val="22"/>
        </w:rPr>
        <w:t xml:space="preserve"> approach).</w:t>
      </w:r>
    </w:p>
    <w:p w14:paraId="6190B6FA" w14:textId="77777777" w:rsidR="00EA19FE" w:rsidRPr="00DD5FEC" w:rsidRDefault="00EA19FE" w:rsidP="008409FC">
      <w:pPr>
        <w:pStyle w:val="ListBullet"/>
        <w:numPr>
          <w:ilvl w:val="0"/>
          <w:numId w:val="0"/>
        </w:numPr>
        <w:spacing w:after="0"/>
        <w:ind w:firstLine="1"/>
        <w:rPr>
          <w:sz w:val="22"/>
          <w:szCs w:val="22"/>
        </w:rPr>
      </w:pPr>
    </w:p>
    <w:p w14:paraId="53A42C52" w14:textId="5AD05282" w:rsidR="00D21D22" w:rsidRPr="00DD5FEC" w:rsidRDefault="00D21D22" w:rsidP="008409FC">
      <w:pPr>
        <w:pStyle w:val="ListBullet"/>
        <w:numPr>
          <w:ilvl w:val="0"/>
          <w:numId w:val="0"/>
        </w:numPr>
        <w:spacing w:after="0"/>
        <w:ind w:firstLine="1"/>
        <w:rPr>
          <w:sz w:val="22"/>
          <w:szCs w:val="22"/>
        </w:rPr>
      </w:pPr>
      <w:r w:rsidRPr="00DD5FEC">
        <w:rPr>
          <w:sz w:val="22"/>
          <w:szCs w:val="22"/>
        </w:rPr>
        <w:t>SMEs are crucial for an inclusive economy: they drive job creation, economic growth and contribute to a stable social environment. However, they also face specific challenges, such as difficult access to finance and heavy regulatory burdens. To address these and other market failures affecting small and medium enterprises, governments should recognise SMEs as an important target of their economic policies and put in place specific mechanisms to create favourable conditions to foster enterprise creation and growth.</w:t>
      </w:r>
    </w:p>
    <w:p w14:paraId="04FA35D9" w14:textId="77777777" w:rsidR="00EA19FE" w:rsidRPr="00DD5FEC" w:rsidRDefault="00EA19FE" w:rsidP="008409FC">
      <w:pPr>
        <w:pStyle w:val="ListBullet"/>
        <w:numPr>
          <w:ilvl w:val="0"/>
          <w:numId w:val="0"/>
        </w:numPr>
        <w:spacing w:after="0"/>
        <w:ind w:firstLine="1"/>
        <w:rPr>
          <w:sz w:val="22"/>
          <w:szCs w:val="22"/>
        </w:rPr>
      </w:pPr>
    </w:p>
    <w:p w14:paraId="5C4537E7" w14:textId="5B6DC8DE" w:rsidR="00D21D22" w:rsidRPr="00DD5FEC" w:rsidRDefault="00D21D22" w:rsidP="008409FC">
      <w:pPr>
        <w:pStyle w:val="ListBullet"/>
        <w:numPr>
          <w:ilvl w:val="0"/>
          <w:numId w:val="0"/>
        </w:numPr>
        <w:spacing w:after="0"/>
        <w:ind w:firstLine="1"/>
        <w:rPr>
          <w:sz w:val="22"/>
          <w:szCs w:val="22"/>
        </w:rPr>
      </w:pPr>
      <w:r w:rsidRPr="00DD5FEC">
        <w:rPr>
          <w:sz w:val="22"/>
          <w:szCs w:val="22"/>
        </w:rPr>
        <w:lastRenderedPageBreak/>
        <w:t xml:space="preserve">In the last few years, the </w:t>
      </w:r>
      <w:r w:rsidR="008664C4" w:rsidRPr="00DD5FEC">
        <w:rPr>
          <w:sz w:val="22"/>
          <w:szCs w:val="22"/>
        </w:rPr>
        <w:t>Ministry of Economic Development and Tourism (</w:t>
      </w:r>
      <w:r w:rsidRPr="00DD5FEC">
        <w:rPr>
          <w:sz w:val="22"/>
          <w:szCs w:val="22"/>
        </w:rPr>
        <w:t>MEDT</w:t>
      </w:r>
      <w:r w:rsidR="008664C4" w:rsidRPr="00DD5FEC">
        <w:rPr>
          <w:sz w:val="22"/>
          <w:szCs w:val="22"/>
        </w:rPr>
        <w:t>)</w:t>
      </w:r>
      <w:r w:rsidRPr="00DD5FEC">
        <w:rPr>
          <w:sz w:val="22"/>
          <w:szCs w:val="22"/>
        </w:rPr>
        <w:t xml:space="preserve"> has increasingly supported private sector participation in the economy and has taken steps to develop a comprehensive SME support policy.</w:t>
      </w:r>
    </w:p>
    <w:p w14:paraId="1FB509A0" w14:textId="77777777" w:rsidR="00EA19FE" w:rsidRPr="00DD5FEC" w:rsidRDefault="00EA19FE" w:rsidP="008409FC">
      <w:pPr>
        <w:pStyle w:val="ListBullet"/>
        <w:numPr>
          <w:ilvl w:val="0"/>
          <w:numId w:val="0"/>
        </w:numPr>
        <w:spacing w:after="0"/>
        <w:ind w:firstLine="1"/>
        <w:rPr>
          <w:sz w:val="22"/>
          <w:szCs w:val="22"/>
        </w:rPr>
      </w:pPr>
    </w:p>
    <w:p w14:paraId="667E8B42" w14:textId="056E551E" w:rsidR="00D21D22" w:rsidRPr="00DD5FEC" w:rsidRDefault="00D21D22" w:rsidP="008409FC">
      <w:pPr>
        <w:pStyle w:val="ListBullet"/>
        <w:numPr>
          <w:ilvl w:val="0"/>
          <w:numId w:val="0"/>
        </w:numPr>
        <w:spacing w:after="0"/>
        <w:ind w:firstLine="1"/>
        <w:rPr>
          <w:sz w:val="22"/>
          <w:szCs w:val="22"/>
        </w:rPr>
      </w:pPr>
      <w:r w:rsidRPr="00DD5FEC">
        <w:rPr>
          <w:sz w:val="22"/>
          <w:szCs w:val="22"/>
        </w:rPr>
        <w:t>Online platform biznis.gov.me has been made in purpose to remove administrative burdens for businesses by introducing electronic interfaces to facilitate interaction with government bodies and all relevant actors.</w:t>
      </w:r>
    </w:p>
    <w:p w14:paraId="74C41B50" w14:textId="77777777" w:rsidR="00EA19FE" w:rsidRPr="00DD5FEC" w:rsidRDefault="00EA19FE" w:rsidP="008409FC">
      <w:pPr>
        <w:pStyle w:val="ListBullet"/>
        <w:numPr>
          <w:ilvl w:val="0"/>
          <w:numId w:val="0"/>
        </w:numPr>
        <w:spacing w:after="0"/>
        <w:ind w:firstLine="1"/>
        <w:rPr>
          <w:sz w:val="22"/>
          <w:szCs w:val="22"/>
        </w:rPr>
      </w:pPr>
    </w:p>
    <w:p w14:paraId="1FB143DC" w14:textId="7223A26B" w:rsidR="00D21D22" w:rsidRPr="00DD5FEC" w:rsidRDefault="00536211" w:rsidP="008409FC">
      <w:pPr>
        <w:pStyle w:val="ListBullet"/>
        <w:numPr>
          <w:ilvl w:val="0"/>
          <w:numId w:val="0"/>
        </w:numPr>
        <w:spacing w:after="0"/>
        <w:ind w:firstLine="1"/>
        <w:rPr>
          <w:sz w:val="22"/>
          <w:szCs w:val="22"/>
        </w:rPr>
      </w:pPr>
      <w:r w:rsidRPr="00DD5FEC">
        <w:rPr>
          <w:sz w:val="22"/>
          <w:szCs w:val="22"/>
        </w:rPr>
        <w:t>Directorate for competitiveness enhancement</w:t>
      </w:r>
      <w:r w:rsidR="00D21D22" w:rsidRPr="00DD5FEC">
        <w:rPr>
          <w:sz w:val="22"/>
          <w:szCs w:val="22"/>
        </w:rPr>
        <w:t xml:space="preserve"> covering services for entrepreneurs to develop their business cap</w:t>
      </w:r>
      <w:r w:rsidR="00555DF3" w:rsidRPr="00DD5FEC">
        <w:rPr>
          <w:sz w:val="22"/>
          <w:szCs w:val="22"/>
        </w:rPr>
        <w:t xml:space="preserve"> </w:t>
      </w:r>
      <w:r w:rsidR="00D21D22" w:rsidRPr="00DD5FEC">
        <w:rPr>
          <w:sz w:val="22"/>
          <w:szCs w:val="22"/>
        </w:rPr>
        <w:t xml:space="preserve">abilities and takes responsibility for overall coordination and implementation of SME support measures. </w:t>
      </w:r>
    </w:p>
    <w:p w14:paraId="5C1AC733" w14:textId="77777777" w:rsidR="00EA19FE" w:rsidRPr="00DD5FEC" w:rsidRDefault="00EA19FE" w:rsidP="008409FC">
      <w:pPr>
        <w:pStyle w:val="ListBullet"/>
        <w:numPr>
          <w:ilvl w:val="0"/>
          <w:numId w:val="0"/>
        </w:numPr>
        <w:spacing w:after="0"/>
        <w:ind w:firstLine="1"/>
        <w:rPr>
          <w:sz w:val="22"/>
          <w:szCs w:val="22"/>
        </w:rPr>
      </w:pPr>
    </w:p>
    <w:p w14:paraId="04AD7BB3" w14:textId="1A435625" w:rsidR="00D21D22" w:rsidRPr="00DD5FEC" w:rsidRDefault="00D21D22" w:rsidP="008409FC">
      <w:pPr>
        <w:pStyle w:val="ListBullet"/>
        <w:numPr>
          <w:ilvl w:val="0"/>
          <w:numId w:val="0"/>
        </w:numPr>
        <w:spacing w:after="0"/>
        <w:ind w:firstLine="1"/>
        <w:rPr>
          <w:sz w:val="22"/>
          <w:szCs w:val="22"/>
        </w:rPr>
      </w:pPr>
      <w:r w:rsidRPr="00DD5FEC">
        <w:rPr>
          <w:sz w:val="22"/>
          <w:szCs w:val="22"/>
        </w:rPr>
        <w:t xml:space="preserve">A large number of providers offer a wide range of </w:t>
      </w:r>
      <w:r w:rsidR="00555DF3" w:rsidRPr="00DD5FEC">
        <w:rPr>
          <w:sz w:val="22"/>
          <w:szCs w:val="22"/>
        </w:rPr>
        <w:t xml:space="preserve">BDS </w:t>
      </w:r>
      <w:r w:rsidRPr="00DD5FEC">
        <w:rPr>
          <w:sz w:val="22"/>
          <w:szCs w:val="22"/>
        </w:rPr>
        <w:t xml:space="preserve">to entrepreneurs in </w:t>
      </w:r>
      <w:r w:rsidR="00C65FFB" w:rsidRPr="00DD5FEC">
        <w:rPr>
          <w:sz w:val="22"/>
          <w:szCs w:val="22"/>
        </w:rPr>
        <w:t>Montenegro</w:t>
      </w:r>
      <w:r w:rsidRPr="00DD5FEC">
        <w:rPr>
          <w:sz w:val="22"/>
          <w:szCs w:val="22"/>
        </w:rPr>
        <w:t xml:space="preserve">, but </w:t>
      </w:r>
      <w:r w:rsidR="00C65FFB" w:rsidRPr="00DD5FEC">
        <w:rPr>
          <w:sz w:val="22"/>
          <w:szCs w:val="22"/>
        </w:rPr>
        <w:t>support</w:t>
      </w:r>
      <w:r w:rsidRPr="00DD5FEC">
        <w:rPr>
          <w:sz w:val="22"/>
          <w:szCs w:val="22"/>
        </w:rPr>
        <w:t xml:space="preserve"> is scattered across</w:t>
      </w:r>
      <w:r w:rsidR="00C65FFB" w:rsidRPr="00DD5FEC">
        <w:rPr>
          <w:sz w:val="22"/>
          <w:szCs w:val="22"/>
        </w:rPr>
        <w:t xml:space="preserve"> various</w:t>
      </w:r>
      <w:r w:rsidRPr="00DD5FEC">
        <w:rPr>
          <w:sz w:val="22"/>
          <w:szCs w:val="22"/>
        </w:rPr>
        <w:t xml:space="preserve"> public/private provision is not co-ordinated by a single</w:t>
      </w:r>
      <w:r w:rsidR="00C65FFB" w:rsidRPr="00DD5FEC">
        <w:rPr>
          <w:sz w:val="22"/>
          <w:szCs w:val="22"/>
        </w:rPr>
        <w:t xml:space="preserve"> entity in charge of SME policy,</w:t>
      </w:r>
      <w:r w:rsidRPr="00DD5FEC">
        <w:rPr>
          <w:sz w:val="22"/>
          <w:szCs w:val="22"/>
        </w:rPr>
        <w:t xml:space="preserve"> and public support is rarely targeted to SME needs. A dedicated business support infrastructure for SMEs exists but faces a series of challenges and market failures.</w:t>
      </w:r>
    </w:p>
    <w:p w14:paraId="1F961254" w14:textId="6BB74A43" w:rsidR="009846CF" w:rsidRPr="00DD5FEC" w:rsidRDefault="009846CF" w:rsidP="0023362E">
      <w:pPr>
        <w:pStyle w:val="ListBullet"/>
        <w:numPr>
          <w:ilvl w:val="0"/>
          <w:numId w:val="0"/>
        </w:numPr>
        <w:rPr>
          <w:sz w:val="22"/>
          <w:szCs w:val="22"/>
        </w:rPr>
      </w:pPr>
    </w:p>
    <w:p w14:paraId="6C1B61D9" w14:textId="77777777" w:rsidR="00BB1BED" w:rsidRPr="00DD5FEC" w:rsidRDefault="00BB1BED" w:rsidP="00150137">
      <w:pPr>
        <w:pStyle w:val="Heading2"/>
        <w:rPr>
          <w:sz w:val="22"/>
          <w:szCs w:val="22"/>
        </w:rPr>
      </w:pPr>
      <w:bookmarkStart w:id="5" w:name="_Toc438131767"/>
      <w:r w:rsidRPr="00DD5FEC">
        <w:rPr>
          <w:sz w:val="22"/>
          <w:szCs w:val="22"/>
        </w:rPr>
        <w:t>Related programmes and other donor activities</w:t>
      </w:r>
      <w:bookmarkEnd w:id="5"/>
    </w:p>
    <w:p w14:paraId="51E1FB4A" w14:textId="0130729B" w:rsidR="00214807" w:rsidRPr="00DD5FEC" w:rsidRDefault="00214807" w:rsidP="00214807">
      <w:pPr>
        <w:rPr>
          <w:rFonts w:ascii="Times New Roman" w:hAnsi="Times New Roman"/>
          <w:sz w:val="22"/>
          <w:szCs w:val="22"/>
        </w:rPr>
      </w:pPr>
      <w:r w:rsidRPr="00DD5FEC">
        <w:rPr>
          <w:rFonts w:ascii="Times New Roman" w:hAnsi="Times New Roman"/>
          <w:sz w:val="22"/>
          <w:szCs w:val="22"/>
        </w:rPr>
        <w:t xml:space="preserve">So far, priorities related with enhancement of business environment and private sector development are addressed under project IPA 2014 Enhancement of Business Environment and Competitiveness of Private Sector of Montenegro. This project </w:t>
      </w:r>
      <w:r w:rsidR="00EA19FE" w:rsidRPr="00DD5FEC">
        <w:rPr>
          <w:rFonts w:ascii="Times New Roman" w:hAnsi="Times New Roman"/>
          <w:sz w:val="22"/>
          <w:szCs w:val="22"/>
        </w:rPr>
        <w:t xml:space="preserve">provided </w:t>
      </w:r>
      <w:r w:rsidRPr="00DD5FEC">
        <w:rPr>
          <w:rFonts w:ascii="Times New Roman" w:hAnsi="Times New Roman"/>
          <w:sz w:val="22"/>
          <w:szCs w:val="22"/>
        </w:rPr>
        <w:t>targeted support for enhancement of governance and strategic planning in SMEs development, research, innovation and preparation for further direct financial assistance to the private sector under IPA 2016. This project support</w:t>
      </w:r>
      <w:r w:rsidR="00EA19FE" w:rsidRPr="00DD5FEC">
        <w:rPr>
          <w:rFonts w:ascii="Times New Roman" w:hAnsi="Times New Roman"/>
          <w:sz w:val="22"/>
          <w:szCs w:val="22"/>
        </w:rPr>
        <w:t>ed</w:t>
      </w:r>
      <w:r w:rsidRPr="00DD5FEC">
        <w:rPr>
          <w:rFonts w:ascii="Times New Roman" w:hAnsi="Times New Roman"/>
          <w:sz w:val="22"/>
          <w:szCs w:val="22"/>
        </w:rPr>
        <w:t xml:space="preserve"> the elaboration of a study on identification of the main areas for implementation of grant schemes for SMEs and clusters (e.g. quality standards, innovations), as well as implementation of pilot competitiveness grant schemes. As a continuation of this project, based on the results of the study and the competitiveness grant scheme under IPA 2016 will be implemented to support development of SMEs and clusters. </w:t>
      </w:r>
    </w:p>
    <w:p w14:paraId="15F5C6E6" w14:textId="77777777" w:rsidR="00536211" w:rsidRPr="00DD5FEC" w:rsidRDefault="00536211" w:rsidP="00536211">
      <w:pPr>
        <w:rPr>
          <w:rFonts w:ascii="Times New Roman" w:hAnsi="Times New Roman"/>
          <w:sz w:val="22"/>
          <w:szCs w:val="22"/>
        </w:rPr>
      </w:pPr>
      <w:r w:rsidRPr="00DD5FEC">
        <w:rPr>
          <w:rFonts w:ascii="Times New Roman" w:hAnsi="Times New Roman"/>
          <w:sz w:val="22"/>
          <w:szCs w:val="22"/>
        </w:rPr>
        <w:t>The European Bank for Reconstruction and Development (EBRD)</w:t>
      </w:r>
      <w:r w:rsidRPr="00DD5FEC">
        <w:rPr>
          <w:rStyle w:val="FootnoteReference"/>
          <w:rFonts w:ascii="Times New Roman" w:hAnsi="Times New Roman"/>
          <w:sz w:val="22"/>
          <w:szCs w:val="22"/>
        </w:rPr>
        <w:footnoteReference w:id="8"/>
      </w:r>
      <w:r w:rsidRPr="00DD5FEC">
        <w:rPr>
          <w:rFonts w:ascii="Times New Roman" w:hAnsi="Times New Roman"/>
          <w:sz w:val="22"/>
          <w:szCs w:val="22"/>
        </w:rPr>
        <w:t xml:space="preserve"> is joining forces with the European Union (EU) and Montenegro’s MEDT to help small and medium-sized enterprises (SMEs) in Montenegro with their access to know-how in order to develop their competitiveness.</w:t>
      </w:r>
    </w:p>
    <w:p w14:paraId="04C7AAE5" w14:textId="77777777" w:rsidR="00536211" w:rsidRPr="00DD5FEC" w:rsidRDefault="00536211" w:rsidP="00536211">
      <w:pPr>
        <w:rPr>
          <w:rFonts w:ascii="Times New Roman" w:hAnsi="Times New Roman"/>
          <w:sz w:val="22"/>
          <w:szCs w:val="22"/>
        </w:rPr>
      </w:pPr>
      <w:r w:rsidRPr="00DD5FEC">
        <w:rPr>
          <w:rFonts w:ascii="Times New Roman" w:hAnsi="Times New Roman"/>
          <w:sz w:val="22"/>
          <w:szCs w:val="22"/>
        </w:rPr>
        <w:t>The €1.75 million-project “Supporting Entrepreneurship through Advisory Services and Information Services for SMEs” is co-funded by the EU and the Government of Montenegro through the Instrument for Pre-Accession Assistance (IPA) and implemented by the EBRD in partnership with Montenegro’s Ministry of Economic Development which is the beneficiary of the project. The €1.4-million-euro funding is provided by the EU (IPA) and the Government of Montenegro, while the remaining is SME client contribution and EBRD.</w:t>
      </w:r>
    </w:p>
    <w:p w14:paraId="6572196D" w14:textId="5F94E5D6" w:rsidR="00214807" w:rsidRPr="00DD5FEC" w:rsidRDefault="00214807" w:rsidP="00214807">
      <w:pPr>
        <w:rPr>
          <w:rFonts w:ascii="Times New Roman" w:hAnsi="Times New Roman"/>
          <w:sz w:val="22"/>
          <w:szCs w:val="22"/>
        </w:rPr>
      </w:pPr>
      <w:r w:rsidRPr="00DD5FEC">
        <w:rPr>
          <w:rFonts w:ascii="Times New Roman" w:hAnsi="Times New Roman"/>
          <w:sz w:val="22"/>
          <w:szCs w:val="22"/>
        </w:rPr>
        <w:t xml:space="preserve">This project </w:t>
      </w:r>
      <w:r w:rsidR="00536211" w:rsidRPr="00DD5FEC">
        <w:rPr>
          <w:rFonts w:ascii="Times New Roman" w:hAnsi="Times New Roman"/>
          <w:sz w:val="22"/>
          <w:szCs w:val="22"/>
        </w:rPr>
        <w:t>is being implemented</w:t>
      </w:r>
      <w:r w:rsidRPr="00DD5FEC">
        <w:rPr>
          <w:rFonts w:ascii="Times New Roman" w:hAnsi="Times New Roman"/>
          <w:sz w:val="22"/>
          <w:szCs w:val="22"/>
        </w:rPr>
        <w:t xml:space="preserve"> under two components. Component 1 focus</w:t>
      </w:r>
      <w:r w:rsidR="00536211" w:rsidRPr="00DD5FEC">
        <w:rPr>
          <w:rFonts w:ascii="Times New Roman" w:hAnsi="Times New Roman"/>
          <w:sz w:val="22"/>
          <w:szCs w:val="22"/>
        </w:rPr>
        <w:t>es</w:t>
      </w:r>
      <w:r w:rsidRPr="00DD5FEC">
        <w:rPr>
          <w:rFonts w:ascii="Times New Roman" w:hAnsi="Times New Roman"/>
          <w:sz w:val="22"/>
          <w:szCs w:val="22"/>
        </w:rPr>
        <w:t xml:space="preserve"> to help enterprises improve their competitiveness, strengthen human capital and expertise, introduce new and innovative technologies and business processes and thereby prepare companies to obtain </w:t>
      </w:r>
      <w:r w:rsidR="003E42BA" w:rsidRPr="00DD5FEC">
        <w:rPr>
          <w:rFonts w:ascii="Times New Roman" w:hAnsi="Times New Roman"/>
          <w:sz w:val="22"/>
          <w:szCs w:val="22"/>
        </w:rPr>
        <w:t>finance, through</w:t>
      </w:r>
      <w:r w:rsidRPr="00DD5FEC">
        <w:rPr>
          <w:rFonts w:ascii="Times New Roman" w:hAnsi="Times New Roman"/>
          <w:sz w:val="22"/>
          <w:szCs w:val="22"/>
        </w:rPr>
        <w:t xml:space="preserve"> tailored made advisory projects, trainings for local consultants to increase the quality of their services, and other activities that are planned to be jointly implemented with the </w:t>
      </w:r>
      <w:r w:rsidR="00536211" w:rsidRPr="00DD5FEC">
        <w:rPr>
          <w:rFonts w:ascii="Times New Roman" w:hAnsi="Times New Roman"/>
          <w:sz w:val="22"/>
          <w:szCs w:val="22"/>
        </w:rPr>
        <w:t>MEDT</w:t>
      </w:r>
      <w:r w:rsidRPr="00DD5FEC">
        <w:rPr>
          <w:rFonts w:ascii="Times New Roman" w:hAnsi="Times New Roman"/>
          <w:sz w:val="22"/>
          <w:szCs w:val="22"/>
        </w:rPr>
        <w:t xml:space="preserve"> to strengthen SME support structure at national level. Component 2 </w:t>
      </w:r>
      <w:r w:rsidR="00536211" w:rsidRPr="00DD5FEC">
        <w:rPr>
          <w:rFonts w:ascii="Times New Roman" w:hAnsi="Times New Roman"/>
          <w:sz w:val="22"/>
          <w:szCs w:val="22"/>
        </w:rPr>
        <w:t xml:space="preserve">aims to </w:t>
      </w:r>
      <w:r w:rsidRPr="00DD5FEC">
        <w:rPr>
          <w:rFonts w:ascii="Times New Roman" w:hAnsi="Times New Roman"/>
          <w:sz w:val="22"/>
          <w:szCs w:val="22"/>
        </w:rPr>
        <w:t xml:space="preserve">provide knowledge-transfer to the </w:t>
      </w:r>
      <w:r w:rsidR="00536211" w:rsidRPr="00DD5FEC">
        <w:rPr>
          <w:rFonts w:ascii="Times New Roman" w:hAnsi="Times New Roman"/>
          <w:sz w:val="22"/>
          <w:szCs w:val="22"/>
        </w:rPr>
        <w:t>MEDT</w:t>
      </w:r>
      <w:r w:rsidRPr="00DD5FEC">
        <w:rPr>
          <w:rFonts w:ascii="Times New Roman" w:hAnsi="Times New Roman"/>
          <w:sz w:val="22"/>
          <w:szCs w:val="22"/>
        </w:rPr>
        <w:t xml:space="preserve"> via seminars, workshops, trainings, sector development activities and visibility events. Priority areas will include capacity building in for SMEs governance and expertise and preparation for the </w:t>
      </w:r>
      <w:r w:rsidR="00536211" w:rsidRPr="00DD5FEC">
        <w:rPr>
          <w:rFonts w:ascii="Times New Roman" w:hAnsi="Times New Roman"/>
          <w:sz w:val="22"/>
          <w:szCs w:val="22"/>
        </w:rPr>
        <w:t>MEDT</w:t>
      </w:r>
      <w:r w:rsidRPr="00DD5FEC">
        <w:rPr>
          <w:rFonts w:ascii="Times New Roman" w:hAnsi="Times New Roman"/>
          <w:sz w:val="22"/>
          <w:szCs w:val="22"/>
        </w:rPr>
        <w:t xml:space="preserve"> to become potential partner institution to be involved</w:t>
      </w:r>
      <w:r w:rsidR="003E42BA" w:rsidRPr="00DD5FEC">
        <w:rPr>
          <w:rFonts w:ascii="Times New Roman" w:hAnsi="Times New Roman"/>
          <w:sz w:val="22"/>
          <w:szCs w:val="22"/>
        </w:rPr>
        <w:t xml:space="preserve"> in joint activities with EBRD.</w:t>
      </w:r>
    </w:p>
    <w:p w14:paraId="68F4E224" w14:textId="77777777" w:rsidR="003E42BA" w:rsidRPr="00DD5FEC" w:rsidRDefault="003E42BA" w:rsidP="003E42BA">
      <w:pPr>
        <w:rPr>
          <w:rFonts w:ascii="Times New Roman" w:hAnsi="Times New Roman"/>
          <w:sz w:val="22"/>
          <w:szCs w:val="22"/>
        </w:rPr>
      </w:pPr>
      <w:r w:rsidRPr="00DD5FEC">
        <w:rPr>
          <w:rFonts w:ascii="Times New Roman" w:hAnsi="Times New Roman"/>
          <w:sz w:val="22"/>
          <w:szCs w:val="22"/>
        </w:rPr>
        <w:t xml:space="preserve">The Bank’s Advice for Small Businesses Team will leverage its extensive network of international advisers and local consultants to design projects around SMEs’ needs with a view towards improving </w:t>
      </w:r>
      <w:r w:rsidRPr="00DD5FEC">
        <w:rPr>
          <w:rFonts w:ascii="Times New Roman" w:hAnsi="Times New Roman"/>
          <w:sz w:val="22"/>
          <w:szCs w:val="22"/>
        </w:rPr>
        <w:lastRenderedPageBreak/>
        <w:t>their productivity in a wide range of business areas, including digitalisation and digital transformation, financial management, environmental protection and others.</w:t>
      </w:r>
    </w:p>
    <w:p w14:paraId="4F7DB0EC" w14:textId="3AA95337" w:rsidR="003E42BA" w:rsidRPr="00DD5FEC" w:rsidRDefault="003E42BA" w:rsidP="003E42BA">
      <w:pPr>
        <w:rPr>
          <w:rFonts w:ascii="Times New Roman" w:hAnsi="Times New Roman"/>
          <w:sz w:val="22"/>
          <w:szCs w:val="22"/>
        </w:rPr>
      </w:pPr>
      <w:r w:rsidRPr="00DD5FEC">
        <w:rPr>
          <w:rFonts w:ascii="Times New Roman" w:hAnsi="Times New Roman"/>
          <w:sz w:val="22"/>
          <w:szCs w:val="22"/>
        </w:rPr>
        <w:t xml:space="preserve">On the other hand, under the Investment Climate and Governance Initiative, we will focus on strengthening the capacity of the </w:t>
      </w:r>
      <w:r w:rsidR="008664C4" w:rsidRPr="00DD5FEC">
        <w:rPr>
          <w:rFonts w:ascii="Times New Roman" w:hAnsi="Times New Roman"/>
          <w:sz w:val="22"/>
          <w:szCs w:val="22"/>
        </w:rPr>
        <w:t xml:space="preserve">MEDT </w:t>
      </w:r>
      <w:r w:rsidRPr="00DD5FEC">
        <w:rPr>
          <w:rFonts w:ascii="Times New Roman" w:hAnsi="Times New Roman"/>
          <w:sz w:val="22"/>
          <w:szCs w:val="22"/>
        </w:rPr>
        <w:t>to better serve SMEs through policy development and enhancing SME support programmes, whereas the project also aims to set up a digital one stop shop web portal that will have all relevant information for SMEs and enable them to apply online for incentives.</w:t>
      </w:r>
    </w:p>
    <w:p w14:paraId="6BD21460" w14:textId="758C5A9E" w:rsidR="00214807" w:rsidRPr="00DD5FEC" w:rsidRDefault="00214807" w:rsidP="00BB1BED">
      <w:pPr>
        <w:rPr>
          <w:rFonts w:ascii="Times New Roman" w:hAnsi="Times New Roman"/>
          <w:sz w:val="22"/>
          <w:szCs w:val="22"/>
        </w:rPr>
      </w:pPr>
      <w:r w:rsidRPr="00DD5FEC">
        <w:rPr>
          <w:rFonts w:ascii="Times New Roman" w:hAnsi="Times New Roman"/>
          <w:sz w:val="22"/>
          <w:szCs w:val="22"/>
        </w:rPr>
        <w:t xml:space="preserve">On November 2015 the CKB and the EIF also signed the first COSME agreement consisting in a loan guarantee for the Competitiveness of Enterprises and Small and Medium-sized Enterprises which provide EUR 30 million of loans to SMEs over the three years to 2018. However, </w:t>
      </w:r>
      <w:r w:rsidR="00536211" w:rsidRPr="00DD5FEC">
        <w:rPr>
          <w:rFonts w:ascii="Times New Roman" w:hAnsi="Times New Roman"/>
          <w:sz w:val="22"/>
          <w:szCs w:val="22"/>
        </w:rPr>
        <w:t>effective</w:t>
      </w:r>
      <w:r w:rsidRPr="00DD5FEC">
        <w:rPr>
          <w:rFonts w:ascii="Times New Roman" w:hAnsi="Times New Roman"/>
          <w:sz w:val="22"/>
          <w:szCs w:val="22"/>
        </w:rPr>
        <w:t xml:space="preserve"> working structures still need to be created to help Montenegrin applicants prepare their applications for EU funding under the COSME programme.</w:t>
      </w:r>
    </w:p>
    <w:p w14:paraId="3075076B" w14:textId="77777777" w:rsidR="00BB1BED" w:rsidRDefault="00BB1BED" w:rsidP="00BB1BED">
      <w:pPr>
        <w:pStyle w:val="Heading1"/>
      </w:pPr>
      <w:bookmarkStart w:id="6" w:name="_Toc438131768"/>
      <w:r w:rsidRPr="00287A5B">
        <w:t>OBJECTIVE</w:t>
      </w:r>
      <w:r w:rsidR="00356A16">
        <w:t xml:space="preserve">S </w:t>
      </w:r>
      <w:r w:rsidRPr="00287A5B">
        <w:t xml:space="preserve">&amp; EXPECTED </w:t>
      </w:r>
      <w:bookmarkEnd w:id="6"/>
      <w:r w:rsidR="00356A16">
        <w:t>OUTPUT</w:t>
      </w:r>
      <w:r w:rsidR="00356A16" w:rsidRPr="00287A5B">
        <w:t>S</w:t>
      </w:r>
    </w:p>
    <w:p w14:paraId="4BAC48FC" w14:textId="77777777" w:rsidR="00BB1BED" w:rsidRPr="00DD5FEC" w:rsidRDefault="00BB1BED" w:rsidP="00150137">
      <w:pPr>
        <w:pStyle w:val="Heading2"/>
        <w:rPr>
          <w:sz w:val="22"/>
          <w:szCs w:val="22"/>
        </w:rPr>
      </w:pPr>
      <w:bookmarkStart w:id="7" w:name="_Toc438131769"/>
      <w:r w:rsidRPr="00DD5FEC">
        <w:rPr>
          <w:sz w:val="22"/>
          <w:szCs w:val="22"/>
        </w:rPr>
        <w:t>Overall objective</w:t>
      </w:r>
      <w:bookmarkEnd w:id="7"/>
    </w:p>
    <w:p w14:paraId="55AEBC50" w14:textId="4E2F5783" w:rsidR="00356A16" w:rsidRPr="00DD5FEC" w:rsidRDefault="00BB1BED" w:rsidP="00356A16">
      <w:pPr>
        <w:keepNext/>
        <w:keepLines/>
        <w:rPr>
          <w:rFonts w:ascii="Times New Roman" w:hAnsi="Times New Roman"/>
          <w:sz w:val="22"/>
          <w:szCs w:val="22"/>
        </w:rPr>
      </w:pPr>
      <w:r w:rsidRPr="00DD5FEC">
        <w:rPr>
          <w:rFonts w:ascii="Times New Roman" w:hAnsi="Times New Roman"/>
          <w:sz w:val="22"/>
          <w:szCs w:val="22"/>
        </w:rPr>
        <w:t>The overall objective</w:t>
      </w:r>
      <w:r w:rsidR="00000BAB" w:rsidRPr="00DD5FEC">
        <w:rPr>
          <w:rFonts w:ascii="Times New Roman" w:hAnsi="Times New Roman"/>
          <w:sz w:val="22"/>
          <w:szCs w:val="22"/>
        </w:rPr>
        <w:t xml:space="preserve"> (I</w:t>
      </w:r>
      <w:r w:rsidR="00356A16" w:rsidRPr="00DD5FEC">
        <w:rPr>
          <w:rFonts w:ascii="Times New Roman" w:hAnsi="Times New Roman"/>
          <w:sz w:val="22"/>
          <w:szCs w:val="22"/>
        </w:rPr>
        <w:t>mpact</w:t>
      </w:r>
      <w:r w:rsidR="00000BAB" w:rsidRPr="00DD5FEC">
        <w:rPr>
          <w:rFonts w:ascii="Times New Roman" w:hAnsi="Times New Roman"/>
          <w:sz w:val="22"/>
          <w:szCs w:val="22"/>
        </w:rPr>
        <w:t>)</w:t>
      </w:r>
      <w:r w:rsidR="00356A16" w:rsidRPr="00DD5FEC">
        <w:rPr>
          <w:rFonts w:ascii="Times New Roman" w:hAnsi="Times New Roman"/>
          <w:sz w:val="22"/>
          <w:szCs w:val="22"/>
        </w:rPr>
        <w:t xml:space="preserve"> to</w:t>
      </w:r>
      <w:r w:rsidR="00A645BE" w:rsidRPr="00DD5FEC">
        <w:rPr>
          <w:rFonts w:ascii="Times New Roman" w:hAnsi="Times New Roman"/>
          <w:sz w:val="22"/>
          <w:szCs w:val="22"/>
        </w:rPr>
        <w:t xml:space="preserve"> </w:t>
      </w:r>
      <w:r w:rsidR="00356A16" w:rsidRPr="00DD5FEC">
        <w:rPr>
          <w:rFonts w:ascii="Times New Roman" w:hAnsi="Times New Roman"/>
          <w:sz w:val="22"/>
          <w:szCs w:val="22"/>
        </w:rPr>
        <w:t>which this action contributes is:</w:t>
      </w:r>
    </w:p>
    <w:p w14:paraId="093D17A2" w14:textId="170F7D0D" w:rsidR="00214807" w:rsidRPr="00DD5FEC" w:rsidRDefault="00214807" w:rsidP="00356A16">
      <w:pPr>
        <w:keepNext/>
        <w:keepLines/>
        <w:rPr>
          <w:rFonts w:ascii="Times New Roman" w:hAnsi="Times New Roman"/>
          <w:sz w:val="22"/>
          <w:szCs w:val="22"/>
        </w:rPr>
      </w:pPr>
      <w:r w:rsidRPr="00DD5FEC">
        <w:rPr>
          <w:rFonts w:ascii="Times New Roman" w:hAnsi="Times New Roman"/>
          <w:sz w:val="22"/>
          <w:szCs w:val="22"/>
        </w:rPr>
        <w:t>To strengthen the economic competitiveness of private sector in Montenegro.</w:t>
      </w:r>
    </w:p>
    <w:p w14:paraId="08E4A22C" w14:textId="77777777" w:rsidR="00BB1BED" w:rsidRPr="00DD5FEC" w:rsidRDefault="009754BA" w:rsidP="00150137">
      <w:pPr>
        <w:pStyle w:val="Heading2"/>
        <w:numPr>
          <w:ilvl w:val="0"/>
          <w:numId w:val="0"/>
        </w:numPr>
        <w:ind w:left="556"/>
        <w:rPr>
          <w:sz w:val="22"/>
          <w:szCs w:val="22"/>
        </w:rPr>
      </w:pPr>
      <w:r w:rsidRPr="00DD5FEC">
        <w:rPr>
          <w:sz w:val="22"/>
          <w:szCs w:val="22"/>
        </w:rPr>
        <w:t xml:space="preserve">2.2   </w:t>
      </w:r>
      <w:bookmarkStart w:id="8" w:name="_Toc64132807"/>
      <w:r w:rsidR="00356A16" w:rsidRPr="00DD5FEC">
        <w:rPr>
          <w:sz w:val="22"/>
          <w:szCs w:val="22"/>
        </w:rPr>
        <w:t>Specific objective(s)</w:t>
      </w:r>
      <w:bookmarkEnd w:id="8"/>
    </w:p>
    <w:p w14:paraId="462E20BD" w14:textId="0FDDB7CA" w:rsidR="00A645BE" w:rsidRPr="00DD5FEC" w:rsidRDefault="00A645BE" w:rsidP="00A645BE">
      <w:pPr>
        <w:keepNext/>
        <w:keepLines/>
        <w:rPr>
          <w:rFonts w:ascii="Times New Roman" w:hAnsi="Times New Roman"/>
          <w:sz w:val="22"/>
          <w:szCs w:val="22"/>
        </w:rPr>
      </w:pPr>
      <w:r w:rsidRPr="00DD5FEC">
        <w:rPr>
          <w:rFonts w:ascii="Times New Roman" w:hAnsi="Times New Roman"/>
          <w:sz w:val="22"/>
          <w:szCs w:val="22"/>
        </w:rPr>
        <w:t>The specific objective</w:t>
      </w:r>
      <w:r w:rsidR="00D2303A" w:rsidRPr="00DD5FEC">
        <w:rPr>
          <w:rFonts w:ascii="Times New Roman" w:hAnsi="Times New Roman"/>
          <w:sz w:val="22"/>
          <w:szCs w:val="22"/>
        </w:rPr>
        <w:t>s</w:t>
      </w:r>
      <w:r w:rsidR="00D2303A" w:rsidRPr="00DD5FEC" w:rsidDel="00D2303A">
        <w:rPr>
          <w:rFonts w:ascii="Times New Roman" w:hAnsi="Times New Roman"/>
          <w:sz w:val="22"/>
          <w:szCs w:val="22"/>
        </w:rPr>
        <w:t xml:space="preserve"> </w:t>
      </w:r>
      <w:r w:rsidRPr="00DD5FEC">
        <w:rPr>
          <w:rFonts w:ascii="Times New Roman" w:hAnsi="Times New Roman"/>
          <w:sz w:val="22"/>
          <w:szCs w:val="22"/>
        </w:rPr>
        <w:t>(Outcome</w:t>
      </w:r>
      <w:r w:rsidR="00D2303A" w:rsidRPr="00DD5FEC">
        <w:rPr>
          <w:rFonts w:ascii="Times New Roman" w:hAnsi="Times New Roman"/>
          <w:sz w:val="22"/>
          <w:szCs w:val="22"/>
        </w:rPr>
        <w:t>s</w:t>
      </w:r>
      <w:r w:rsidRPr="00DD5FEC">
        <w:rPr>
          <w:rFonts w:ascii="Times New Roman" w:hAnsi="Times New Roman"/>
          <w:sz w:val="22"/>
          <w:szCs w:val="22"/>
        </w:rPr>
        <w:t xml:space="preserve">) of this contract </w:t>
      </w:r>
      <w:r w:rsidR="002A1E22" w:rsidRPr="00DD5FEC">
        <w:rPr>
          <w:rFonts w:ascii="Times New Roman" w:hAnsi="Times New Roman"/>
          <w:sz w:val="22"/>
          <w:szCs w:val="22"/>
        </w:rPr>
        <w:t xml:space="preserve">are </w:t>
      </w:r>
      <w:r w:rsidRPr="00DD5FEC">
        <w:rPr>
          <w:rFonts w:ascii="Times New Roman" w:hAnsi="Times New Roman"/>
          <w:sz w:val="22"/>
          <w:szCs w:val="22"/>
        </w:rPr>
        <w:t>as follows:</w:t>
      </w:r>
    </w:p>
    <w:p w14:paraId="72AAD9AF" w14:textId="17C2E511" w:rsidR="00A645BE" w:rsidRPr="00DD5FEC" w:rsidRDefault="00107E6C" w:rsidP="002A1E22">
      <w:pPr>
        <w:pStyle w:val="ListBullet"/>
        <w:numPr>
          <w:ilvl w:val="0"/>
          <w:numId w:val="0"/>
        </w:numPr>
        <w:spacing w:after="120"/>
        <w:ind w:left="283" w:hanging="283"/>
        <w:rPr>
          <w:sz w:val="22"/>
          <w:szCs w:val="22"/>
          <w:highlight w:val="yellow"/>
        </w:rPr>
      </w:pPr>
      <w:r w:rsidRPr="00DD5FEC">
        <w:rPr>
          <w:sz w:val="22"/>
          <w:szCs w:val="22"/>
        </w:rPr>
        <w:t xml:space="preserve">Outcome </w:t>
      </w:r>
      <w:r w:rsidR="00E4139B" w:rsidRPr="00DD5FEC">
        <w:rPr>
          <w:sz w:val="22"/>
          <w:szCs w:val="22"/>
        </w:rPr>
        <w:t>1</w:t>
      </w:r>
      <w:r w:rsidRPr="00DD5FEC">
        <w:rPr>
          <w:sz w:val="22"/>
          <w:szCs w:val="22"/>
        </w:rPr>
        <w:t xml:space="preserve">: </w:t>
      </w:r>
      <w:bookmarkStart w:id="9" w:name="_Hlk116389329"/>
      <w:r w:rsidR="00555DF3" w:rsidRPr="00DD5FEC">
        <w:rPr>
          <w:sz w:val="22"/>
          <w:szCs w:val="22"/>
        </w:rPr>
        <w:t>Establishing</w:t>
      </w:r>
      <w:bookmarkStart w:id="10" w:name="_Hlk116389113"/>
      <w:r w:rsidR="00555DF3" w:rsidRPr="00DD5FEC">
        <w:rPr>
          <w:sz w:val="22"/>
          <w:szCs w:val="22"/>
        </w:rPr>
        <w:t xml:space="preserve"> Business Development Services (BDS) for SMEs </w:t>
      </w:r>
      <w:bookmarkEnd w:id="10"/>
      <w:r w:rsidR="00707CDC" w:rsidRPr="00DD5FEC">
        <w:rPr>
          <w:sz w:val="22"/>
          <w:szCs w:val="22"/>
        </w:rPr>
        <w:t xml:space="preserve"> </w:t>
      </w:r>
      <w:r w:rsidR="00707CDC" w:rsidRPr="00DD5FEC">
        <w:rPr>
          <w:sz w:val="22"/>
          <w:szCs w:val="22"/>
          <w:highlight w:val="yellow"/>
        </w:rPr>
        <w:t xml:space="preserve"> </w:t>
      </w:r>
      <w:bookmarkEnd w:id="9"/>
    </w:p>
    <w:p w14:paraId="0509F70C" w14:textId="2ED37A91" w:rsidR="00107E6C" w:rsidRPr="00DD5FEC" w:rsidRDefault="00107E6C" w:rsidP="002A1E22">
      <w:pPr>
        <w:pStyle w:val="ListBullet"/>
        <w:numPr>
          <w:ilvl w:val="0"/>
          <w:numId w:val="0"/>
        </w:numPr>
        <w:ind w:left="283" w:hanging="283"/>
        <w:rPr>
          <w:sz w:val="22"/>
          <w:szCs w:val="22"/>
        </w:rPr>
      </w:pPr>
      <w:r w:rsidRPr="00DD5FEC">
        <w:rPr>
          <w:sz w:val="22"/>
          <w:szCs w:val="22"/>
        </w:rPr>
        <w:t xml:space="preserve">Outcome </w:t>
      </w:r>
      <w:r w:rsidR="00745D49" w:rsidRPr="00DD5FEC">
        <w:rPr>
          <w:sz w:val="22"/>
          <w:szCs w:val="22"/>
        </w:rPr>
        <w:t>2</w:t>
      </w:r>
      <w:r w:rsidR="00D2303A" w:rsidRPr="00DD5FEC">
        <w:rPr>
          <w:sz w:val="22"/>
          <w:szCs w:val="22"/>
        </w:rPr>
        <w:t>:</w:t>
      </w:r>
      <w:r w:rsidRPr="00DD5FEC">
        <w:rPr>
          <w:sz w:val="22"/>
          <w:szCs w:val="22"/>
        </w:rPr>
        <w:t xml:space="preserve"> </w:t>
      </w:r>
      <w:r w:rsidR="00D2303A" w:rsidRPr="00DD5FEC">
        <w:rPr>
          <w:sz w:val="22"/>
          <w:szCs w:val="22"/>
        </w:rPr>
        <w:t xml:space="preserve">Ensuring efficient absorption of EU financing programmes for SMEs </w:t>
      </w:r>
    </w:p>
    <w:p w14:paraId="312DA7EC" w14:textId="2104B976" w:rsidR="00BB1BED" w:rsidRPr="00DD5FEC" w:rsidRDefault="00D7797F" w:rsidP="00150137">
      <w:pPr>
        <w:pStyle w:val="Heading2"/>
        <w:numPr>
          <w:ilvl w:val="1"/>
          <w:numId w:val="21"/>
        </w:numPr>
        <w:rPr>
          <w:sz w:val="22"/>
          <w:szCs w:val="22"/>
        </w:rPr>
      </w:pPr>
      <w:bookmarkStart w:id="11" w:name="_Toc438131771"/>
      <w:r w:rsidRPr="00DD5FEC">
        <w:rPr>
          <w:sz w:val="22"/>
          <w:szCs w:val="22"/>
        </w:rPr>
        <w:t xml:space="preserve">Expected outputs </w:t>
      </w:r>
      <w:r w:rsidR="00BB1BED" w:rsidRPr="00DD5FEC">
        <w:rPr>
          <w:sz w:val="22"/>
          <w:szCs w:val="22"/>
        </w:rPr>
        <w:t xml:space="preserve">to be achieved by the </w:t>
      </w:r>
      <w:r w:rsidR="00213767" w:rsidRPr="00DD5FEC">
        <w:rPr>
          <w:sz w:val="22"/>
          <w:szCs w:val="22"/>
        </w:rPr>
        <w:t>c</w:t>
      </w:r>
      <w:r w:rsidR="00732CF8" w:rsidRPr="00DD5FEC">
        <w:rPr>
          <w:sz w:val="22"/>
          <w:szCs w:val="22"/>
        </w:rPr>
        <w:t>ontractor</w:t>
      </w:r>
      <w:bookmarkEnd w:id="11"/>
    </w:p>
    <w:p w14:paraId="24BC5578" w14:textId="2B0A0E96" w:rsidR="002A1E22" w:rsidRPr="00DD5FEC" w:rsidRDefault="00B75D75" w:rsidP="00B75D75">
      <w:pPr>
        <w:rPr>
          <w:rFonts w:ascii="Times New Roman" w:hAnsi="Times New Roman"/>
          <w:sz w:val="22"/>
          <w:szCs w:val="22"/>
        </w:rPr>
      </w:pPr>
      <w:r w:rsidRPr="00DD5FEC">
        <w:rPr>
          <w:rFonts w:ascii="Times New Roman" w:hAnsi="Times New Roman"/>
          <w:sz w:val="22"/>
          <w:szCs w:val="22"/>
        </w:rPr>
        <w:t>The expected outputs of this contract are as follows:</w:t>
      </w:r>
    </w:p>
    <w:p w14:paraId="34C440A5" w14:textId="373D1D9E" w:rsidR="00B260D1" w:rsidRPr="00DD5FEC" w:rsidRDefault="00B260D1" w:rsidP="00B260D1">
      <w:pPr>
        <w:pStyle w:val="ListBullet"/>
        <w:numPr>
          <w:ilvl w:val="0"/>
          <w:numId w:val="0"/>
        </w:numPr>
        <w:spacing w:after="120"/>
        <w:ind w:left="283" w:hanging="283"/>
        <w:rPr>
          <w:bCs/>
          <w:iCs/>
          <w:sz w:val="22"/>
          <w:szCs w:val="22"/>
          <w:u w:val="single"/>
          <w:lang w:eastAsia="en-GB"/>
        </w:rPr>
      </w:pPr>
      <w:r w:rsidRPr="00DD5FEC">
        <w:rPr>
          <w:bCs/>
          <w:iCs/>
          <w:sz w:val="22"/>
          <w:szCs w:val="22"/>
          <w:u w:val="single"/>
          <w:lang w:eastAsia="en-GB"/>
        </w:rPr>
        <w:t xml:space="preserve">Outcome 1: </w:t>
      </w:r>
      <w:r w:rsidR="00D07316" w:rsidRPr="00DD5FEC">
        <w:rPr>
          <w:bCs/>
          <w:iCs/>
          <w:sz w:val="22"/>
          <w:szCs w:val="22"/>
          <w:u w:val="single"/>
          <w:lang w:eastAsia="en-GB"/>
        </w:rPr>
        <w:t xml:space="preserve">Establishing Business Development Services (BDS) for SMEs   </w:t>
      </w:r>
    </w:p>
    <w:p w14:paraId="4FE8538D" w14:textId="33488FD9" w:rsidR="008C0968" w:rsidRPr="00DD5FEC" w:rsidRDefault="008C0968" w:rsidP="00B260D1">
      <w:pPr>
        <w:pStyle w:val="ListBullet"/>
        <w:numPr>
          <w:ilvl w:val="0"/>
          <w:numId w:val="0"/>
        </w:numPr>
        <w:spacing w:after="120"/>
        <w:rPr>
          <w:sz w:val="22"/>
          <w:szCs w:val="22"/>
        </w:rPr>
      </w:pPr>
      <w:r w:rsidRPr="00DD5FEC">
        <w:rPr>
          <w:bCs/>
          <w:sz w:val="22"/>
          <w:szCs w:val="22"/>
        </w:rPr>
        <w:t>Output 1 to Outcome 1:</w:t>
      </w:r>
      <w:r w:rsidRPr="00DD5FEC">
        <w:rPr>
          <w:sz w:val="22"/>
          <w:szCs w:val="22"/>
        </w:rPr>
        <w:t xml:space="preserve"> </w:t>
      </w:r>
      <w:r w:rsidR="00CA48B0" w:rsidRPr="00DD5FEC">
        <w:rPr>
          <w:sz w:val="22"/>
          <w:szCs w:val="22"/>
        </w:rPr>
        <w:t xml:space="preserve">Analysis of </w:t>
      </w:r>
      <w:r w:rsidR="00F8178F" w:rsidRPr="00DD5FEC">
        <w:rPr>
          <w:sz w:val="22"/>
          <w:szCs w:val="22"/>
        </w:rPr>
        <w:t xml:space="preserve">existing institutional and other relevant stakeholders providing advisory services for SMEs </w:t>
      </w:r>
      <w:r w:rsidR="00077F7D" w:rsidRPr="00DD5FEC">
        <w:rPr>
          <w:sz w:val="22"/>
          <w:szCs w:val="22"/>
        </w:rPr>
        <w:t>and</w:t>
      </w:r>
      <w:r w:rsidR="00F8178F" w:rsidRPr="00DD5FEC">
        <w:rPr>
          <w:sz w:val="22"/>
          <w:szCs w:val="22"/>
        </w:rPr>
        <w:t xml:space="preserve"> </w:t>
      </w:r>
      <w:r w:rsidR="00077F7D" w:rsidRPr="00DD5FEC">
        <w:rPr>
          <w:sz w:val="22"/>
          <w:szCs w:val="22"/>
        </w:rPr>
        <w:t>G</w:t>
      </w:r>
      <w:r w:rsidR="00F8178F" w:rsidRPr="00DD5FEC">
        <w:rPr>
          <w:sz w:val="22"/>
          <w:szCs w:val="22"/>
        </w:rPr>
        <w:t>uidance for development BDS</w:t>
      </w:r>
      <w:r w:rsidR="00077F7D" w:rsidRPr="00DD5FEC">
        <w:rPr>
          <w:sz w:val="22"/>
          <w:szCs w:val="22"/>
        </w:rPr>
        <w:t xml:space="preserve"> prepared</w:t>
      </w:r>
      <w:r w:rsidR="00F8178F" w:rsidRPr="00DD5FEC">
        <w:rPr>
          <w:sz w:val="22"/>
          <w:szCs w:val="22"/>
        </w:rPr>
        <w:t xml:space="preserve"> </w:t>
      </w:r>
    </w:p>
    <w:p w14:paraId="36E99C75" w14:textId="02CC5896" w:rsidR="008C0968" w:rsidRPr="00DD5FEC" w:rsidRDefault="008C0968" w:rsidP="002A1E22">
      <w:pPr>
        <w:pStyle w:val="ListBullet"/>
        <w:numPr>
          <w:ilvl w:val="0"/>
          <w:numId w:val="0"/>
        </w:numPr>
        <w:spacing w:after="120"/>
        <w:rPr>
          <w:sz w:val="22"/>
          <w:szCs w:val="22"/>
        </w:rPr>
      </w:pPr>
      <w:r w:rsidRPr="00DD5FEC">
        <w:rPr>
          <w:bCs/>
          <w:sz w:val="22"/>
          <w:szCs w:val="22"/>
        </w:rPr>
        <w:t>Output 2 to Outcome 1</w:t>
      </w:r>
      <w:r w:rsidR="00B260D1" w:rsidRPr="00DD5FEC">
        <w:rPr>
          <w:sz w:val="22"/>
          <w:szCs w:val="22"/>
        </w:rPr>
        <w:t xml:space="preserve">: </w:t>
      </w:r>
      <w:r w:rsidR="00F8178F" w:rsidRPr="00DD5FEC">
        <w:rPr>
          <w:sz w:val="22"/>
          <w:szCs w:val="22"/>
        </w:rPr>
        <w:t>BDS established and functional, providing vide set of advisory services</w:t>
      </w:r>
      <w:r w:rsidR="00F8178F" w:rsidRPr="00DD5FEC" w:rsidDel="00742FF7">
        <w:rPr>
          <w:sz w:val="22"/>
          <w:szCs w:val="22"/>
        </w:rPr>
        <w:t xml:space="preserve"> </w:t>
      </w:r>
      <w:r w:rsidR="00F8178F" w:rsidRPr="00DD5FEC">
        <w:rPr>
          <w:sz w:val="22"/>
          <w:szCs w:val="22"/>
        </w:rPr>
        <w:t xml:space="preserve"> </w:t>
      </w:r>
    </w:p>
    <w:p w14:paraId="79566FA8" w14:textId="159DCF25" w:rsidR="00C7634D" w:rsidRPr="00DD5FEC" w:rsidRDefault="00160677" w:rsidP="002A1E22">
      <w:pPr>
        <w:pStyle w:val="ListBullet"/>
        <w:numPr>
          <w:ilvl w:val="0"/>
          <w:numId w:val="0"/>
        </w:numPr>
        <w:tabs>
          <w:tab w:val="num" w:pos="425"/>
        </w:tabs>
        <w:spacing w:after="120"/>
        <w:rPr>
          <w:sz w:val="22"/>
          <w:szCs w:val="22"/>
        </w:rPr>
      </w:pPr>
      <w:r w:rsidRPr="00DD5FEC">
        <w:rPr>
          <w:bCs/>
          <w:sz w:val="22"/>
          <w:szCs w:val="22"/>
        </w:rPr>
        <w:t>Output 3 to Outcome</w:t>
      </w:r>
      <w:r w:rsidR="00CF191F" w:rsidRPr="00DD5FEC">
        <w:rPr>
          <w:bCs/>
          <w:sz w:val="22"/>
          <w:szCs w:val="22"/>
        </w:rPr>
        <w:t xml:space="preserve"> 1</w:t>
      </w:r>
      <w:r w:rsidRPr="00DD5FEC">
        <w:rPr>
          <w:sz w:val="22"/>
          <w:szCs w:val="22"/>
        </w:rPr>
        <w:t xml:space="preserve">: </w:t>
      </w:r>
      <w:r w:rsidR="00F8178F" w:rsidRPr="00DD5FEC">
        <w:rPr>
          <w:sz w:val="22"/>
          <w:szCs w:val="22"/>
        </w:rPr>
        <w:t xml:space="preserve">Mechanism for coordination, monitoring and evaluation of services for SMEs improved </w:t>
      </w:r>
    </w:p>
    <w:p w14:paraId="41D7C402" w14:textId="77167B45" w:rsidR="002A1E22" w:rsidRPr="00DD5FEC" w:rsidRDefault="007A62F0" w:rsidP="00BD3C5C">
      <w:pPr>
        <w:pStyle w:val="ListBullet"/>
        <w:numPr>
          <w:ilvl w:val="0"/>
          <w:numId w:val="0"/>
        </w:numPr>
        <w:tabs>
          <w:tab w:val="num" w:pos="425"/>
        </w:tabs>
        <w:spacing w:after="120"/>
        <w:rPr>
          <w:sz w:val="22"/>
          <w:szCs w:val="22"/>
          <w:highlight w:val="yellow"/>
        </w:rPr>
      </w:pPr>
      <w:r w:rsidRPr="00DD5FEC">
        <w:rPr>
          <w:sz w:val="22"/>
          <w:szCs w:val="22"/>
        </w:rPr>
        <w:t xml:space="preserve">Output 4 to Outcome 1: </w:t>
      </w:r>
      <w:r w:rsidR="00B260D1" w:rsidRPr="00DD5FEC">
        <w:rPr>
          <w:sz w:val="22"/>
          <w:szCs w:val="22"/>
        </w:rPr>
        <w:t>Single Access Point biznis.gov.me upgraded</w:t>
      </w:r>
    </w:p>
    <w:p w14:paraId="7DB219DD" w14:textId="17C4C5D6" w:rsidR="002A1E22" w:rsidRPr="00DD5FEC" w:rsidRDefault="00D2303A" w:rsidP="00BD3C5C">
      <w:pPr>
        <w:keepNext/>
        <w:keepLines/>
        <w:rPr>
          <w:rFonts w:ascii="Times New Roman" w:hAnsi="Times New Roman"/>
          <w:bCs/>
          <w:iCs/>
          <w:sz w:val="22"/>
          <w:szCs w:val="22"/>
          <w:u w:val="single"/>
        </w:rPr>
      </w:pPr>
      <w:r w:rsidRPr="00DD5FEC">
        <w:rPr>
          <w:rFonts w:ascii="Times New Roman" w:hAnsi="Times New Roman"/>
          <w:bCs/>
          <w:iCs/>
          <w:sz w:val="22"/>
          <w:szCs w:val="22"/>
          <w:u w:val="single"/>
        </w:rPr>
        <w:t xml:space="preserve">Outcome </w:t>
      </w:r>
      <w:r w:rsidR="00B260D1" w:rsidRPr="00DD5FEC">
        <w:rPr>
          <w:rFonts w:ascii="Times New Roman" w:hAnsi="Times New Roman"/>
          <w:bCs/>
          <w:iCs/>
          <w:sz w:val="22"/>
          <w:szCs w:val="22"/>
          <w:u w:val="single"/>
        </w:rPr>
        <w:t>2</w:t>
      </w:r>
      <w:r w:rsidRPr="00DD5FEC">
        <w:rPr>
          <w:rFonts w:ascii="Times New Roman" w:hAnsi="Times New Roman"/>
          <w:bCs/>
          <w:iCs/>
          <w:sz w:val="22"/>
          <w:szCs w:val="22"/>
          <w:u w:val="single"/>
        </w:rPr>
        <w:t xml:space="preserve">: Ensuring efficient absorption of EU financing programmes for SMEs </w:t>
      </w:r>
    </w:p>
    <w:p w14:paraId="1236CC64" w14:textId="0CEA3396" w:rsidR="008C0968" w:rsidRPr="00DD5FEC" w:rsidRDefault="00BD3C5C" w:rsidP="00BD3C5C">
      <w:pPr>
        <w:pStyle w:val="ListBullet"/>
        <w:numPr>
          <w:ilvl w:val="0"/>
          <w:numId w:val="0"/>
        </w:numPr>
        <w:rPr>
          <w:sz w:val="22"/>
          <w:szCs w:val="22"/>
        </w:rPr>
      </w:pPr>
      <w:r w:rsidRPr="00DD5FEC">
        <w:rPr>
          <w:sz w:val="22"/>
          <w:szCs w:val="22"/>
        </w:rPr>
        <w:t>Output 1 to Outcome 2:</w:t>
      </w:r>
      <w:r w:rsidR="008C0968" w:rsidRPr="00DD5FEC">
        <w:rPr>
          <w:color w:val="4472C4" w:themeColor="accent5"/>
          <w:sz w:val="22"/>
          <w:szCs w:val="22"/>
        </w:rPr>
        <w:t xml:space="preserve"> </w:t>
      </w:r>
      <w:r w:rsidR="00B260D1" w:rsidRPr="00DD5FEC">
        <w:rPr>
          <w:sz w:val="22"/>
          <w:szCs w:val="22"/>
        </w:rPr>
        <w:t xml:space="preserve">Supporting MEDT and other beneficiary institutions in programming, implementation, monitoring and evaluation of </w:t>
      </w:r>
      <w:r w:rsidR="008664C4" w:rsidRPr="00DD5FEC">
        <w:rPr>
          <w:sz w:val="22"/>
          <w:szCs w:val="22"/>
        </w:rPr>
        <w:t xml:space="preserve">EU funded </w:t>
      </w:r>
      <w:r w:rsidR="00B260D1" w:rsidRPr="00DD5FEC">
        <w:rPr>
          <w:sz w:val="22"/>
          <w:szCs w:val="22"/>
        </w:rPr>
        <w:t>projects</w:t>
      </w:r>
    </w:p>
    <w:p w14:paraId="5B4BE1E8" w14:textId="45BC9748" w:rsidR="008C0968" w:rsidRPr="00DD5FEC" w:rsidRDefault="00BD3C5C" w:rsidP="00BD3C5C">
      <w:pPr>
        <w:pStyle w:val="ListBullet"/>
        <w:numPr>
          <w:ilvl w:val="0"/>
          <w:numId w:val="0"/>
        </w:numPr>
        <w:rPr>
          <w:sz w:val="22"/>
          <w:szCs w:val="22"/>
        </w:rPr>
      </w:pPr>
      <w:r w:rsidRPr="00DD5FEC">
        <w:rPr>
          <w:sz w:val="22"/>
          <w:szCs w:val="22"/>
        </w:rPr>
        <w:t xml:space="preserve">Output </w:t>
      </w:r>
      <w:r w:rsidR="007B4B28" w:rsidRPr="00DD5FEC">
        <w:rPr>
          <w:sz w:val="22"/>
          <w:szCs w:val="22"/>
        </w:rPr>
        <w:t xml:space="preserve">2 </w:t>
      </w:r>
      <w:r w:rsidRPr="00DD5FEC">
        <w:rPr>
          <w:sz w:val="22"/>
          <w:szCs w:val="22"/>
        </w:rPr>
        <w:t>to Outcome 2:</w:t>
      </w:r>
      <w:r w:rsidR="00B260D1" w:rsidRPr="00DD5FEC">
        <w:rPr>
          <w:sz w:val="22"/>
          <w:szCs w:val="22"/>
        </w:rPr>
        <w:t xml:space="preserve"> Building capacities for planning and implementation of EU funded projects</w:t>
      </w:r>
    </w:p>
    <w:p w14:paraId="7EAC0D9F" w14:textId="77777777" w:rsidR="00BB1BED" w:rsidRPr="00287A5B" w:rsidRDefault="00BB1BED" w:rsidP="00BB1BED">
      <w:pPr>
        <w:pStyle w:val="Heading1"/>
      </w:pPr>
      <w:bookmarkStart w:id="12" w:name="_Toc438131772"/>
      <w:r w:rsidRPr="00287A5B">
        <w:t>ASSUMPTIONS &amp; RISKS</w:t>
      </w:r>
      <w:bookmarkEnd w:id="12"/>
    </w:p>
    <w:p w14:paraId="2993798F" w14:textId="77777777" w:rsidR="00BB1BED" w:rsidRPr="00DD5FEC" w:rsidRDefault="00BB1BED" w:rsidP="00150137">
      <w:pPr>
        <w:pStyle w:val="Heading2"/>
        <w:rPr>
          <w:sz w:val="22"/>
          <w:szCs w:val="22"/>
        </w:rPr>
      </w:pPr>
      <w:bookmarkStart w:id="13" w:name="_Toc438131773"/>
      <w:r w:rsidRPr="00DD5FEC">
        <w:rPr>
          <w:sz w:val="22"/>
          <w:szCs w:val="22"/>
        </w:rPr>
        <w:t>Assumptions underlying the project</w:t>
      </w:r>
      <w:bookmarkEnd w:id="13"/>
      <w:r w:rsidRPr="00DD5FEC">
        <w:rPr>
          <w:sz w:val="22"/>
          <w:szCs w:val="22"/>
        </w:rPr>
        <w:t xml:space="preserve"> </w:t>
      </w:r>
    </w:p>
    <w:p w14:paraId="4C847513" w14:textId="625BCC3C" w:rsidR="00371FD3" w:rsidRPr="00DD5FEC" w:rsidRDefault="00371FD3" w:rsidP="00BB1BED">
      <w:pPr>
        <w:rPr>
          <w:rFonts w:ascii="Times New Roman" w:hAnsi="Times New Roman"/>
          <w:sz w:val="22"/>
          <w:szCs w:val="22"/>
        </w:rPr>
      </w:pPr>
      <w:r w:rsidRPr="00DD5FEC">
        <w:rPr>
          <w:rFonts w:ascii="Times New Roman" w:hAnsi="Times New Roman"/>
          <w:sz w:val="22"/>
          <w:szCs w:val="22"/>
        </w:rPr>
        <w:t>Full commitment and support to the development of the process by the responsible institutions/stakeholders and the Government on the competitiveness and innovation strategy.</w:t>
      </w:r>
    </w:p>
    <w:p w14:paraId="3FC6CA5F" w14:textId="77777777" w:rsidR="00371FD3" w:rsidRPr="00DD5FEC" w:rsidRDefault="00371FD3" w:rsidP="00371FD3">
      <w:pPr>
        <w:rPr>
          <w:rFonts w:ascii="Times New Roman" w:hAnsi="Times New Roman"/>
          <w:sz w:val="22"/>
          <w:szCs w:val="22"/>
        </w:rPr>
      </w:pPr>
      <w:r w:rsidRPr="00DD5FEC">
        <w:rPr>
          <w:rFonts w:ascii="Times New Roman" w:hAnsi="Times New Roman"/>
          <w:sz w:val="22"/>
          <w:szCs w:val="22"/>
        </w:rPr>
        <w:t>Developed services are corresponding to enterprises’ needs</w:t>
      </w:r>
    </w:p>
    <w:p w14:paraId="484E81DE" w14:textId="77777777" w:rsidR="00371FD3" w:rsidRPr="00DD5FEC" w:rsidRDefault="00371FD3" w:rsidP="00371FD3">
      <w:pPr>
        <w:rPr>
          <w:rFonts w:ascii="Times New Roman" w:hAnsi="Times New Roman"/>
          <w:sz w:val="22"/>
          <w:szCs w:val="22"/>
        </w:rPr>
      </w:pPr>
      <w:r w:rsidRPr="00DD5FEC">
        <w:rPr>
          <w:rFonts w:ascii="Times New Roman" w:hAnsi="Times New Roman"/>
          <w:sz w:val="22"/>
          <w:szCs w:val="22"/>
        </w:rPr>
        <w:t>National stakeholders are committed to ensure sustainability of the facilities and services</w:t>
      </w:r>
    </w:p>
    <w:p w14:paraId="06D8F5F2" w14:textId="77777777" w:rsidR="00371FD3" w:rsidRPr="00DD5FEC" w:rsidRDefault="00371FD3" w:rsidP="00371FD3">
      <w:pPr>
        <w:rPr>
          <w:rFonts w:ascii="Times New Roman" w:hAnsi="Times New Roman"/>
          <w:sz w:val="22"/>
          <w:szCs w:val="22"/>
        </w:rPr>
      </w:pPr>
      <w:r w:rsidRPr="00DD5FEC">
        <w:rPr>
          <w:rFonts w:ascii="Times New Roman" w:hAnsi="Times New Roman"/>
          <w:sz w:val="22"/>
          <w:szCs w:val="22"/>
        </w:rPr>
        <w:t>Sufficient number of staff involved in the activities of the Action</w:t>
      </w:r>
    </w:p>
    <w:p w14:paraId="4C6005A7" w14:textId="77777777" w:rsidR="00371FD3" w:rsidRPr="00DD5FEC" w:rsidRDefault="00371FD3" w:rsidP="00371FD3">
      <w:pPr>
        <w:rPr>
          <w:rFonts w:ascii="Times New Roman" w:hAnsi="Times New Roman"/>
          <w:sz w:val="22"/>
          <w:szCs w:val="22"/>
        </w:rPr>
      </w:pPr>
      <w:r w:rsidRPr="00DD5FEC">
        <w:rPr>
          <w:rFonts w:ascii="Times New Roman" w:hAnsi="Times New Roman"/>
          <w:sz w:val="22"/>
          <w:szCs w:val="22"/>
        </w:rPr>
        <w:lastRenderedPageBreak/>
        <w:t>Adequate coordination of the institutions and stakeholders involved</w:t>
      </w:r>
    </w:p>
    <w:p w14:paraId="57CC7420" w14:textId="77777777" w:rsidR="00BB1BED" w:rsidRPr="00DD5FEC" w:rsidRDefault="00BB1BED" w:rsidP="00150137">
      <w:pPr>
        <w:pStyle w:val="Heading2"/>
        <w:rPr>
          <w:sz w:val="22"/>
          <w:szCs w:val="22"/>
        </w:rPr>
      </w:pPr>
      <w:bookmarkStart w:id="14" w:name="_Toc438131774"/>
      <w:r w:rsidRPr="00DD5FEC">
        <w:rPr>
          <w:sz w:val="22"/>
          <w:szCs w:val="22"/>
        </w:rPr>
        <w:t>Risks</w:t>
      </w:r>
      <w:bookmarkEnd w:id="14"/>
    </w:p>
    <w:p w14:paraId="00F021D8" w14:textId="77777777" w:rsidR="00D920A0" w:rsidRPr="00DD5FEC" w:rsidRDefault="00D920A0" w:rsidP="00D920A0">
      <w:pPr>
        <w:rPr>
          <w:rFonts w:ascii="Times New Roman" w:hAnsi="Times New Roman"/>
          <w:sz w:val="22"/>
          <w:szCs w:val="22"/>
        </w:rPr>
      </w:pPr>
      <w:r w:rsidRPr="00DD5FEC">
        <w:rPr>
          <w:rFonts w:ascii="Times New Roman" w:hAnsi="Times New Roman"/>
          <w:sz w:val="22"/>
          <w:szCs w:val="22"/>
        </w:rPr>
        <w:t>During the entire process of activities of the Action, certain risks may occur and concrete actions may be needed in order to mitigate possible negative outcomes. Along the following lines, risks with higher level of occurrence and risks with the highest impact are presented:</w:t>
      </w:r>
    </w:p>
    <w:p w14:paraId="174F1265" w14:textId="48DF7B9B" w:rsidR="00D920A0" w:rsidRPr="00DD5FEC" w:rsidRDefault="00D920A0" w:rsidP="007D7A0D">
      <w:pPr>
        <w:pStyle w:val="ListParagraph"/>
        <w:numPr>
          <w:ilvl w:val="0"/>
          <w:numId w:val="23"/>
        </w:numPr>
        <w:rPr>
          <w:rFonts w:ascii="Times New Roman" w:hAnsi="Times New Roman"/>
          <w:sz w:val="22"/>
          <w:szCs w:val="22"/>
        </w:rPr>
      </w:pPr>
      <w:r w:rsidRPr="00DD5FEC">
        <w:rPr>
          <w:rFonts w:ascii="Times New Roman" w:hAnsi="Times New Roman"/>
          <w:sz w:val="22"/>
          <w:szCs w:val="22"/>
        </w:rPr>
        <w:t>Issues of Competitiveness, innovation fall under the responsibilities of several ministries and agencies and the coordination and policy steering capacities in this area are weak;</w:t>
      </w:r>
    </w:p>
    <w:p w14:paraId="4F8165A3" w14:textId="1B61BB3B" w:rsidR="00D920A0" w:rsidRPr="00DD5FEC" w:rsidRDefault="00D920A0" w:rsidP="007D7A0D">
      <w:pPr>
        <w:pStyle w:val="ListParagraph"/>
        <w:numPr>
          <w:ilvl w:val="0"/>
          <w:numId w:val="23"/>
        </w:numPr>
        <w:rPr>
          <w:rFonts w:ascii="Times New Roman" w:hAnsi="Times New Roman"/>
          <w:sz w:val="22"/>
          <w:szCs w:val="22"/>
        </w:rPr>
      </w:pPr>
      <w:r w:rsidRPr="00DD5FEC">
        <w:rPr>
          <w:rFonts w:ascii="Times New Roman" w:hAnsi="Times New Roman"/>
          <w:sz w:val="22"/>
          <w:szCs w:val="22"/>
        </w:rPr>
        <w:t>Wide fragmentation of strategies adopted and; lacking of calculation of costs of implementation and performance indicators to measure progress against objectives;</w:t>
      </w:r>
    </w:p>
    <w:p w14:paraId="514B3BD7" w14:textId="2DE9EE97" w:rsidR="00D920A0" w:rsidRPr="00DD5FEC" w:rsidRDefault="00D920A0" w:rsidP="007D7A0D">
      <w:pPr>
        <w:pStyle w:val="ListParagraph"/>
        <w:numPr>
          <w:ilvl w:val="0"/>
          <w:numId w:val="23"/>
        </w:numPr>
        <w:rPr>
          <w:rFonts w:ascii="Times New Roman" w:hAnsi="Times New Roman"/>
          <w:sz w:val="22"/>
          <w:szCs w:val="22"/>
        </w:rPr>
      </w:pPr>
      <w:r w:rsidRPr="00DD5FEC">
        <w:rPr>
          <w:rFonts w:ascii="Times New Roman" w:hAnsi="Times New Roman"/>
          <w:sz w:val="22"/>
          <w:szCs w:val="22"/>
        </w:rPr>
        <w:t xml:space="preserve">External shocks and developments in the international economy; </w:t>
      </w:r>
    </w:p>
    <w:p w14:paraId="0272EF80" w14:textId="18B9DB8A" w:rsidR="00852293" w:rsidRPr="00DD5FEC" w:rsidRDefault="00D40347" w:rsidP="007D7A0D">
      <w:pPr>
        <w:pStyle w:val="ListParagraph"/>
        <w:numPr>
          <w:ilvl w:val="0"/>
          <w:numId w:val="23"/>
        </w:numPr>
        <w:rPr>
          <w:rFonts w:ascii="Times New Roman" w:hAnsi="Times New Roman"/>
          <w:sz w:val="22"/>
          <w:szCs w:val="22"/>
        </w:rPr>
      </w:pPr>
      <w:r w:rsidRPr="00DD5FEC">
        <w:rPr>
          <w:rFonts w:ascii="Times New Roman" w:hAnsi="Times New Roman"/>
          <w:sz w:val="22"/>
          <w:szCs w:val="22"/>
        </w:rPr>
        <w:t xml:space="preserve">Lack of political support, decision making </w:t>
      </w:r>
      <w:r w:rsidR="00852293" w:rsidRPr="00DD5FEC">
        <w:rPr>
          <w:rFonts w:ascii="Times New Roman" w:hAnsi="Times New Roman"/>
          <w:sz w:val="22"/>
          <w:szCs w:val="22"/>
        </w:rPr>
        <w:t>and leadership;</w:t>
      </w:r>
    </w:p>
    <w:p w14:paraId="0EC7D4D0" w14:textId="0FC9AED4" w:rsidR="00D920A0" w:rsidRPr="00DD5FEC" w:rsidRDefault="00D920A0" w:rsidP="007D7A0D">
      <w:pPr>
        <w:pStyle w:val="ListParagraph"/>
        <w:numPr>
          <w:ilvl w:val="0"/>
          <w:numId w:val="23"/>
        </w:numPr>
        <w:rPr>
          <w:rFonts w:ascii="Times New Roman" w:hAnsi="Times New Roman"/>
          <w:sz w:val="22"/>
          <w:szCs w:val="22"/>
        </w:rPr>
      </w:pPr>
      <w:r w:rsidRPr="00DD5FEC">
        <w:rPr>
          <w:rFonts w:ascii="Times New Roman" w:hAnsi="Times New Roman"/>
          <w:sz w:val="22"/>
          <w:szCs w:val="22"/>
        </w:rPr>
        <w:t>Lack of human resources and administrative capacit</w:t>
      </w:r>
      <w:r w:rsidR="00852293" w:rsidRPr="00DD5FEC">
        <w:rPr>
          <w:rFonts w:ascii="Times New Roman" w:hAnsi="Times New Roman"/>
          <w:sz w:val="22"/>
          <w:szCs w:val="22"/>
        </w:rPr>
        <w:t>ies</w:t>
      </w:r>
      <w:r w:rsidRPr="00DD5FEC">
        <w:rPr>
          <w:rFonts w:ascii="Times New Roman" w:hAnsi="Times New Roman"/>
          <w:sz w:val="22"/>
          <w:szCs w:val="22"/>
        </w:rPr>
        <w:t xml:space="preserve"> for strategic planning as well as project preparation and implementation.</w:t>
      </w:r>
    </w:p>
    <w:p w14:paraId="7D27E0C7" w14:textId="77777777" w:rsidR="00BB1BED" w:rsidRPr="00287A5B" w:rsidRDefault="00BB1BED" w:rsidP="00BB1BED">
      <w:pPr>
        <w:pStyle w:val="Heading1"/>
      </w:pPr>
      <w:bookmarkStart w:id="15" w:name="_Toc438131775"/>
      <w:r w:rsidRPr="00287A5B">
        <w:t>SCOPE OF THE WORK</w:t>
      </w:r>
      <w:bookmarkEnd w:id="15"/>
    </w:p>
    <w:p w14:paraId="7DE728E7" w14:textId="77777777" w:rsidR="00BB1BED" w:rsidRPr="00DD5FEC" w:rsidRDefault="00BB1BED" w:rsidP="00150137">
      <w:pPr>
        <w:pStyle w:val="Heading2"/>
        <w:rPr>
          <w:sz w:val="22"/>
          <w:szCs w:val="22"/>
        </w:rPr>
      </w:pPr>
      <w:bookmarkStart w:id="16" w:name="_Toc438131776"/>
      <w:r w:rsidRPr="00DD5FEC">
        <w:rPr>
          <w:sz w:val="22"/>
          <w:szCs w:val="22"/>
        </w:rPr>
        <w:t>General</w:t>
      </w:r>
      <w:bookmarkEnd w:id="16"/>
    </w:p>
    <w:p w14:paraId="28191470" w14:textId="1B3D827D" w:rsidR="00BB1BED" w:rsidRPr="00DD5FEC" w:rsidRDefault="00BB1BED" w:rsidP="006E2226">
      <w:pPr>
        <w:pStyle w:val="Heading3"/>
      </w:pPr>
      <w:r w:rsidRPr="00DD5FEC">
        <w:t>Project description</w:t>
      </w:r>
    </w:p>
    <w:p w14:paraId="58658C29" w14:textId="22B3A8CB" w:rsidR="00094BA6" w:rsidRPr="00DD5FEC" w:rsidRDefault="00695C2A" w:rsidP="00094BA6">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This project/service contract should be </w:t>
      </w:r>
      <w:r w:rsidR="00F6217C" w:rsidRPr="00DD5FEC">
        <w:rPr>
          <w:rFonts w:ascii="Times New Roman" w:eastAsia="Arial Unicode MS" w:hAnsi="Times New Roman"/>
          <w:sz w:val="22"/>
          <w:szCs w:val="22"/>
          <w:lang w:eastAsia="de-DE"/>
        </w:rPr>
        <w:t xml:space="preserve">designed in a form of an integrated package of assistance for achieving continuous improvement </w:t>
      </w:r>
      <w:r w:rsidRPr="00DD5FEC">
        <w:rPr>
          <w:rFonts w:ascii="Times New Roman" w:eastAsia="Arial Unicode MS" w:hAnsi="Times New Roman"/>
          <w:sz w:val="22"/>
          <w:szCs w:val="22"/>
          <w:lang w:eastAsia="de-DE"/>
        </w:rPr>
        <w:t>and</w:t>
      </w:r>
      <w:r w:rsidR="00F6217C" w:rsidRPr="00DD5FEC">
        <w:rPr>
          <w:rFonts w:ascii="Times New Roman" w:eastAsia="Arial Unicode MS" w:hAnsi="Times New Roman"/>
          <w:sz w:val="22"/>
          <w:szCs w:val="22"/>
          <w:lang w:eastAsia="de-DE"/>
        </w:rPr>
        <w:t xml:space="preserve"> help the growth and sustainability of the Montenegrin SMEs</w:t>
      </w:r>
      <w:r w:rsidRPr="00DD5FEC">
        <w:rPr>
          <w:rFonts w:ascii="Times New Roman" w:eastAsia="Arial Unicode MS" w:hAnsi="Times New Roman"/>
          <w:sz w:val="22"/>
          <w:szCs w:val="22"/>
          <w:lang w:eastAsia="de-DE"/>
        </w:rPr>
        <w:t xml:space="preserve"> for</w:t>
      </w:r>
      <w:r w:rsidR="00094BA6" w:rsidRPr="00DD5FEC">
        <w:rPr>
          <w:rFonts w:ascii="Times New Roman" w:eastAsia="Arial Unicode MS" w:hAnsi="Times New Roman"/>
          <w:sz w:val="22"/>
          <w:szCs w:val="22"/>
          <w:lang w:eastAsia="de-DE"/>
        </w:rPr>
        <w:t xml:space="preserve"> national </w:t>
      </w:r>
      <w:r w:rsidRPr="00DD5FEC">
        <w:rPr>
          <w:rFonts w:ascii="Times New Roman" w:eastAsia="Arial Unicode MS" w:hAnsi="Times New Roman"/>
          <w:sz w:val="22"/>
          <w:szCs w:val="22"/>
          <w:lang w:eastAsia="de-DE"/>
        </w:rPr>
        <w:t xml:space="preserve">business support services </w:t>
      </w:r>
      <w:r w:rsidR="00094BA6" w:rsidRPr="00DD5FEC">
        <w:rPr>
          <w:rFonts w:ascii="Times New Roman" w:eastAsia="Arial Unicode MS" w:hAnsi="Times New Roman"/>
          <w:sz w:val="22"/>
          <w:szCs w:val="22"/>
          <w:lang w:eastAsia="de-DE"/>
        </w:rPr>
        <w:t xml:space="preserve">for SMEs in many areas in order to achieve continuous delivery of advisory services for improvement of business performance </w:t>
      </w:r>
      <w:r w:rsidRPr="00DD5FEC">
        <w:rPr>
          <w:rFonts w:ascii="Times New Roman" w:eastAsia="Arial Unicode MS" w:hAnsi="Times New Roman"/>
          <w:sz w:val="22"/>
          <w:szCs w:val="22"/>
          <w:lang w:eastAsia="de-DE"/>
        </w:rPr>
        <w:t xml:space="preserve">of </w:t>
      </w:r>
      <w:r w:rsidR="00917BE0" w:rsidRPr="00DD5FEC">
        <w:rPr>
          <w:rFonts w:ascii="Times New Roman" w:eastAsia="Arial Unicode MS" w:hAnsi="Times New Roman"/>
          <w:sz w:val="22"/>
          <w:szCs w:val="22"/>
          <w:lang w:eastAsia="de-DE"/>
        </w:rPr>
        <w:t>M</w:t>
      </w:r>
      <w:r w:rsidRPr="00DD5FEC">
        <w:rPr>
          <w:rFonts w:ascii="Times New Roman" w:eastAsia="Arial Unicode MS" w:hAnsi="Times New Roman"/>
          <w:sz w:val="22"/>
          <w:szCs w:val="22"/>
          <w:lang w:eastAsia="de-DE"/>
        </w:rPr>
        <w:t>SMEs</w:t>
      </w:r>
      <w:r w:rsidR="00094BA6" w:rsidRPr="00DD5FEC">
        <w:rPr>
          <w:rFonts w:ascii="Times New Roman" w:eastAsia="Arial Unicode MS" w:hAnsi="Times New Roman"/>
          <w:sz w:val="22"/>
          <w:szCs w:val="22"/>
          <w:lang w:eastAsia="de-DE"/>
        </w:rPr>
        <w:t>.</w:t>
      </w:r>
    </w:p>
    <w:p w14:paraId="6B5BD101" w14:textId="3F8FE4DF" w:rsidR="0086006C" w:rsidRPr="00DD5FEC" w:rsidRDefault="0086006C" w:rsidP="00094BA6">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Micro</w:t>
      </w:r>
      <w:r w:rsidR="00917BE0" w:rsidRPr="00DD5FEC">
        <w:rPr>
          <w:rFonts w:ascii="Times New Roman" w:eastAsia="Arial Unicode MS" w:hAnsi="Times New Roman"/>
          <w:sz w:val="22"/>
          <w:szCs w:val="22"/>
          <w:lang w:eastAsia="de-DE"/>
        </w:rPr>
        <w:t xml:space="preserve">, </w:t>
      </w:r>
      <w:r w:rsidRPr="00DD5FEC">
        <w:rPr>
          <w:rFonts w:ascii="Times New Roman" w:eastAsia="Arial Unicode MS" w:hAnsi="Times New Roman"/>
          <w:sz w:val="22"/>
          <w:szCs w:val="22"/>
          <w:lang w:eastAsia="de-DE"/>
        </w:rPr>
        <w:t>small</w:t>
      </w:r>
      <w:r w:rsidR="00917BE0" w:rsidRPr="00DD5FEC">
        <w:rPr>
          <w:rFonts w:ascii="Times New Roman" w:eastAsia="Arial Unicode MS" w:hAnsi="Times New Roman"/>
          <w:sz w:val="22"/>
          <w:szCs w:val="22"/>
          <w:lang w:eastAsia="de-DE"/>
        </w:rPr>
        <w:t xml:space="preserve"> and medium-size</w:t>
      </w:r>
      <w:r w:rsidRPr="00DD5FEC">
        <w:rPr>
          <w:rFonts w:ascii="Times New Roman" w:eastAsia="Arial Unicode MS" w:hAnsi="Times New Roman"/>
          <w:sz w:val="22"/>
          <w:szCs w:val="22"/>
          <w:lang w:eastAsia="de-DE"/>
        </w:rPr>
        <w:t xml:space="preserve"> enterprises (</w:t>
      </w:r>
      <w:r w:rsidR="00917BE0" w:rsidRPr="00DD5FEC">
        <w:rPr>
          <w:rFonts w:ascii="Times New Roman" w:eastAsia="Arial Unicode MS" w:hAnsi="Times New Roman"/>
          <w:sz w:val="22"/>
          <w:szCs w:val="22"/>
          <w:lang w:eastAsia="de-DE"/>
        </w:rPr>
        <w:t>MSM</w:t>
      </w:r>
      <w:r w:rsidRPr="00DD5FEC">
        <w:rPr>
          <w:rFonts w:ascii="Times New Roman" w:eastAsia="Arial Unicode MS" w:hAnsi="Times New Roman"/>
          <w:sz w:val="22"/>
          <w:szCs w:val="22"/>
          <w:lang w:eastAsia="de-DE"/>
        </w:rPr>
        <w:t xml:space="preserve">Es) require two types of services: </w:t>
      </w:r>
      <w:r w:rsidR="004D224C" w:rsidRPr="00DD5FEC">
        <w:rPr>
          <w:rFonts w:ascii="Times New Roman" w:eastAsia="Arial Unicode MS" w:hAnsi="Times New Roman"/>
          <w:sz w:val="22"/>
          <w:szCs w:val="22"/>
          <w:lang w:eastAsia="de-DE"/>
        </w:rPr>
        <w:t xml:space="preserve">(i) </w:t>
      </w:r>
      <w:r w:rsidRPr="00DD5FEC">
        <w:rPr>
          <w:rFonts w:ascii="Times New Roman" w:eastAsia="Arial Unicode MS" w:hAnsi="Times New Roman"/>
          <w:sz w:val="22"/>
          <w:szCs w:val="22"/>
          <w:lang w:eastAsia="de-DE"/>
        </w:rPr>
        <w:t xml:space="preserve">financial services and </w:t>
      </w:r>
      <w:r w:rsidR="004D224C" w:rsidRPr="00DD5FEC">
        <w:rPr>
          <w:rFonts w:ascii="Times New Roman" w:eastAsia="Arial Unicode MS" w:hAnsi="Times New Roman"/>
          <w:sz w:val="22"/>
          <w:szCs w:val="22"/>
          <w:lang w:eastAsia="de-DE"/>
        </w:rPr>
        <w:t xml:space="preserve">(ii) </w:t>
      </w:r>
      <w:r w:rsidRPr="00DD5FEC">
        <w:rPr>
          <w:rFonts w:ascii="Times New Roman" w:eastAsia="Arial Unicode MS" w:hAnsi="Times New Roman"/>
          <w:sz w:val="22"/>
          <w:szCs w:val="22"/>
          <w:lang w:eastAsia="de-DE"/>
        </w:rPr>
        <w:t xml:space="preserve">non-financial services - more commonly referred to as "business </w:t>
      </w:r>
      <w:r w:rsidR="00695C2A" w:rsidRPr="00DD5FEC">
        <w:rPr>
          <w:rFonts w:ascii="Times New Roman" w:eastAsia="Arial Unicode MS" w:hAnsi="Times New Roman"/>
          <w:sz w:val="22"/>
          <w:szCs w:val="22"/>
          <w:lang w:eastAsia="de-DE"/>
        </w:rPr>
        <w:t>advisory services" or by the acronym "BA</w:t>
      </w:r>
      <w:r w:rsidRPr="00DD5FEC">
        <w:rPr>
          <w:rFonts w:ascii="Times New Roman" w:eastAsia="Arial Unicode MS" w:hAnsi="Times New Roman"/>
          <w:sz w:val="22"/>
          <w:szCs w:val="22"/>
          <w:lang w:eastAsia="de-DE"/>
        </w:rPr>
        <w:t>S". Financial services help existing or would-be entrepreneurs acquire the means for establishing or expanding a business (e.g. finance for machinery, production premises, and working capital). In the majority of cases, these services refer to bank loans or credit made available through wide-ranging credit schemes. In recent years, different types of financial services have been offered to MSEs.</w:t>
      </w:r>
    </w:p>
    <w:p w14:paraId="65120D04" w14:textId="6497AF4A" w:rsidR="0086006C" w:rsidRPr="00DD5FEC" w:rsidRDefault="0086006C" w:rsidP="00094BA6">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B</w:t>
      </w:r>
      <w:r w:rsidR="00695C2A" w:rsidRPr="00DD5FEC">
        <w:rPr>
          <w:rFonts w:ascii="Times New Roman" w:eastAsia="Arial Unicode MS" w:hAnsi="Times New Roman"/>
          <w:sz w:val="22"/>
          <w:szCs w:val="22"/>
          <w:lang w:eastAsia="de-DE"/>
        </w:rPr>
        <w:t xml:space="preserve">usiness </w:t>
      </w:r>
      <w:r w:rsidR="00186185" w:rsidRPr="00DD5FEC">
        <w:rPr>
          <w:rFonts w:ascii="Times New Roman" w:eastAsia="Arial Unicode MS" w:hAnsi="Times New Roman"/>
          <w:sz w:val="22"/>
          <w:szCs w:val="22"/>
          <w:lang w:eastAsia="de-DE"/>
        </w:rPr>
        <w:t xml:space="preserve">development </w:t>
      </w:r>
      <w:r w:rsidR="00695C2A" w:rsidRPr="00DD5FEC">
        <w:rPr>
          <w:rFonts w:ascii="Times New Roman" w:eastAsia="Arial Unicode MS" w:hAnsi="Times New Roman"/>
          <w:sz w:val="22"/>
          <w:szCs w:val="22"/>
          <w:lang w:eastAsia="de-DE"/>
        </w:rPr>
        <w:t xml:space="preserve">services </w:t>
      </w:r>
      <w:r w:rsidR="004D224C" w:rsidRPr="00DD5FEC">
        <w:rPr>
          <w:rFonts w:ascii="Times New Roman" w:eastAsia="Arial Unicode MS" w:hAnsi="Times New Roman"/>
          <w:sz w:val="22"/>
          <w:szCs w:val="22"/>
          <w:lang w:eastAsia="de-DE"/>
        </w:rPr>
        <w:t>(</w:t>
      </w:r>
      <w:r w:rsidR="00695C2A" w:rsidRPr="00DD5FEC">
        <w:rPr>
          <w:rFonts w:ascii="Times New Roman" w:eastAsia="Arial Unicode MS" w:hAnsi="Times New Roman"/>
          <w:sz w:val="22"/>
          <w:szCs w:val="22"/>
          <w:lang w:eastAsia="de-DE"/>
        </w:rPr>
        <w:t>B</w:t>
      </w:r>
      <w:r w:rsidR="00186185" w:rsidRPr="00DD5FEC">
        <w:rPr>
          <w:rFonts w:ascii="Times New Roman" w:eastAsia="Arial Unicode MS" w:hAnsi="Times New Roman"/>
          <w:sz w:val="22"/>
          <w:szCs w:val="22"/>
          <w:lang w:eastAsia="de-DE"/>
        </w:rPr>
        <w:t>D</w:t>
      </w:r>
      <w:r w:rsidR="00695C2A" w:rsidRPr="00DD5FEC">
        <w:rPr>
          <w:rFonts w:ascii="Times New Roman" w:eastAsia="Arial Unicode MS" w:hAnsi="Times New Roman"/>
          <w:sz w:val="22"/>
          <w:szCs w:val="22"/>
          <w:lang w:eastAsia="de-DE"/>
        </w:rPr>
        <w:t>S</w:t>
      </w:r>
      <w:r w:rsidR="004D224C" w:rsidRPr="00DD5FEC">
        <w:rPr>
          <w:rFonts w:ascii="Times New Roman" w:eastAsia="Arial Unicode MS" w:hAnsi="Times New Roman"/>
          <w:sz w:val="22"/>
          <w:szCs w:val="22"/>
          <w:lang w:eastAsia="de-DE"/>
        </w:rPr>
        <w:t>)</w:t>
      </w:r>
      <w:r w:rsidRPr="00DD5FEC">
        <w:rPr>
          <w:rFonts w:ascii="Times New Roman" w:eastAsia="Arial Unicode MS" w:hAnsi="Times New Roman"/>
          <w:sz w:val="22"/>
          <w:szCs w:val="22"/>
          <w:lang w:eastAsia="de-DE"/>
        </w:rPr>
        <w:t xml:space="preserve"> refer to the provision of information, knowledge and skills, as well as advice on the various aspects of a business.</w:t>
      </w:r>
    </w:p>
    <w:p w14:paraId="66861E94" w14:textId="1A99AE9E" w:rsidR="00E30748" w:rsidRPr="00DD5FEC" w:rsidRDefault="00695C2A" w:rsidP="00E30748">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B</w:t>
      </w:r>
      <w:r w:rsidR="00077F7D" w:rsidRPr="00DD5FEC">
        <w:rPr>
          <w:rFonts w:ascii="Times New Roman" w:eastAsia="Arial Unicode MS" w:hAnsi="Times New Roman"/>
          <w:sz w:val="22"/>
          <w:szCs w:val="22"/>
          <w:lang w:eastAsia="de-DE"/>
        </w:rPr>
        <w:t>D</w:t>
      </w:r>
      <w:r w:rsidR="0086006C" w:rsidRPr="00DD5FEC">
        <w:rPr>
          <w:rFonts w:ascii="Times New Roman" w:eastAsia="Arial Unicode MS" w:hAnsi="Times New Roman"/>
          <w:sz w:val="22"/>
          <w:szCs w:val="22"/>
          <w:lang w:eastAsia="de-DE"/>
        </w:rPr>
        <w:t xml:space="preserve">S are provided to help owners of enterprises get new ideas on how to improve their business through, for example, increasing productivity, reducing production costs, or accessing a more profitable market. These services include the transfer of information in various forms through, for example, consulting services or special events (e.g. exhibitions and trade fairs). </w:t>
      </w:r>
      <w:r w:rsidRPr="00DD5FEC">
        <w:rPr>
          <w:rFonts w:ascii="Times New Roman" w:eastAsia="Arial Unicode MS" w:hAnsi="Times New Roman"/>
          <w:sz w:val="22"/>
          <w:szCs w:val="22"/>
          <w:lang w:eastAsia="de-DE"/>
        </w:rPr>
        <w:t>B</w:t>
      </w:r>
      <w:r w:rsidR="00917BE0" w:rsidRPr="00DD5FEC">
        <w:rPr>
          <w:rFonts w:ascii="Times New Roman" w:eastAsia="Arial Unicode MS" w:hAnsi="Times New Roman"/>
          <w:sz w:val="22"/>
          <w:szCs w:val="22"/>
          <w:lang w:eastAsia="de-DE"/>
        </w:rPr>
        <w:t>D</w:t>
      </w:r>
      <w:r w:rsidRPr="00DD5FEC">
        <w:rPr>
          <w:rFonts w:ascii="Times New Roman" w:eastAsia="Arial Unicode MS" w:hAnsi="Times New Roman"/>
          <w:sz w:val="22"/>
          <w:szCs w:val="22"/>
          <w:lang w:eastAsia="de-DE"/>
        </w:rPr>
        <w:t>S</w:t>
      </w:r>
      <w:r w:rsidR="0086006C" w:rsidRPr="00DD5FEC">
        <w:rPr>
          <w:rFonts w:ascii="Times New Roman" w:eastAsia="Arial Unicode MS" w:hAnsi="Times New Roman"/>
          <w:sz w:val="22"/>
          <w:szCs w:val="22"/>
          <w:lang w:eastAsia="de-DE"/>
        </w:rPr>
        <w:t xml:space="preserve"> may also be required for the establishment and operation of an enterprise. Services required in this instance may include legal services (e.g. registration of the enterprise), training of owners and workers, special laboratory services for testing goods produced by the enterprise, and assistance in arranging contracts with larger firms.</w:t>
      </w:r>
      <w:r w:rsidRPr="00DD5FEC">
        <w:rPr>
          <w:rFonts w:ascii="Times New Roman" w:eastAsia="Arial Unicode MS" w:hAnsi="Times New Roman"/>
          <w:sz w:val="22"/>
          <w:szCs w:val="22"/>
          <w:lang w:eastAsia="de-DE"/>
        </w:rPr>
        <w:t xml:space="preserve"> </w:t>
      </w:r>
      <w:r w:rsidR="00E30748" w:rsidRPr="00DD5FEC">
        <w:rPr>
          <w:rFonts w:ascii="Times New Roman" w:eastAsia="Arial Unicode MS" w:hAnsi="Times New Roman"/>
          <w:sz w:val="22"/>
          <w:szCs w:val="22"/>
          <w:lang w:eastAsia="de-DE"/>
        </w:rPr>
        <w:t>Direct operational support for short term assistance: help with business plan, loan application, marketing or international trade.</w:t>
      </w:r>
      <w:r w:rsidRPr="00DD5FEC">
        <w:rPr>
          <w:rFonts w:ascii="Times New Roman" w:eastAsia="Arial Unicode MS" w:hAnsi="Times New Roman"/>
          <w:sz w:val="22"/>
          <w:szCs w:val="22"/>
          <w:lang w:eastAsia="de-DE"/>
        </w:rPr>
        <w:t xml:space="preserve"> </w:t>
      </w:r>
      <w:r w:rsidR="00E30748" w:rsidRPr="00DD5FEC">
        <w:rPr>
          <w:rFonts w:ascii="Times New Roman" w:eastAsia="Arial Unicode MS" w:hAnsi="Times New Roman"/>
          <w:sz w:val="22"/>
          <w:szCs w:val="22"/>
          <w:lang w:eastAsia="de-DE"/>
        </w:rPr>
        <w:t>Mentoring and coaching, opportunity for a firm to learn by doing from a successful firm.</w:t>
      </w:r>
      <w:r w:rsidRPr="00DD5FEC">
        <w:rPr>
          <w:rFonts w:ascii="Times New Roman" w:eastAsia="Arial Unicode MS" w:hAnsi="Times New Roman"/>
          <w:sz w:val="22"/>
          <w:szCs w:val="22"/>
          <w:lang w:eastAsia="de-DE"/>
        </w:rPr>
        <w:t xml:space="preserve"> Advisory and training. </w:t>
      </w:r>
      <w:r w:rsidR="00597EA2" w:rsidRPr="00DD5FEC">
        <w:rPr>
          <w:rFonts w:ascii="Times New Roman" w:eastAsia="Arial Unicode MS" w:hAnsi="Times New Roman"/>
          <w:sz w:val="22"/>
          <w:szCs w:val="22"/>
          <w:lang w:eastAsia="de-DE"/>
        </w:rPr>
        <w:t>U</w:t>
      </w:r>
      <w:r w:rsidR="00E30748" w:rsidRPr="00DD5FEC">
        <w:rPr>
          <w:rFonts w:ascii="Times New Roman" w:eastAsia="Arial Unicode MS" w:hAnsi="Times New Roman"/>
          <w:sz w:val="22"/>
          <w:szCs w:val="22"/>
          <w:lang w:eastAsia="de-DE"/>
        </w:rPr>
        <w:t>nde</w:t>
      </w:r>
      <w:r w:rsidR="00597EA2" w:rsidRPr="00DD5FEC">
        <w:rPr>
          <w:rFonts w:ascii="Times New Roman" w:eastAsia="Arial Unicode MS" w:hAnsi="Times New Roman"/>
          <w:sz w:val="22"/>
          <w:szCs w:val="22"/>
          <w:lang w:eastAsia="de-DE"/>
        </w:rPr>
        <w:t xml:space="preserve">rtake studies for feasibility, </w:t>
      </w:r>
      <w:r w:rsidR="00E30748" w:rsidRPr="00DD5FEC">
        <w:rPr>
          <w:rFonts w:ascii="Times New Roman" w:eastAsia="Arial Unicode MS" w:hAnsi="Times New Roman"/>
          <w:sz w:val="22"/>
          <w:szCs w:val="22"/>
          <w:lang w:eastAsia="de-DE"/>
        </w:rPr>
        <w:t>market analysis or business plan.</w:t>
      </w:r>
      <w:r w:rsidRPr="00DD5FEC">
        <w:rPr>
          <w:rFonts w:ascii="Times New Roman" w:eastAsia="Arial Unicode MS" w:hAnsi="Times New Roman"/>
          <w:sz w:val="22"/>
          <w:szCs w:val="22"/>
          <w:lang w:eastAsia="de-DE"/>
        </w:rPr>
        <w:t xml:space="preserve"> </w:t>
      </w:r>
      <w:r w:rsidR="00E30748" w:rsidRPr="00DD5FEC">
        <w:rPr>
          <w:rFonts w:ascii="Times New Roman" w:eastAsia="Arial Unicode MS" w:hAnsi="Times New Roman"/>
          <w:sz w:val="22"/>
          <w:szCs w:val="22"/>
          <w:lang w:eastAsia="de-DE"/>
        </w:rPr>
        <w:t>Advocate and advises the public sector on the formulation of policies and strategies that are business friendly to SMEs (including improvement of regulations).</w:t>
      </w:r>
      <w:r w:rsidR="00597EA2" w:rsidRPr="00DD5FEC">
        <w:rPr>
          <w:rFonts w:ascii="Times New Roman" w:eastAsia="Arial Unicode MS" w:hAnsi="Times New Roman"/>
          <w:sz w:val="22"/>
          <w:szCs w:val="22"/>
          <w:lang w:eastAsia="de-DE"/>
        </w:rPr>
        <w:t xml:space="preserve"> </w:t>
      </w:r>
      <w:r w:rsidR="00E30748" w:rsidRPr="00DD5FEC">
        <w:rPr>
          <w:rFonts w:ascii="Times New Roman" w:eastAsia="Arial Unicode MS" w:hAnsi="Times New Roman"/>
          <w:sz w:val="22"/>
          <w:szCs w:val="22"/>
          <w:lang w:eastAsia="de-DE"/>
        </w:rPr>
        <w:t>Collate and disseminate information.</w:t>
      </w:r>
    </w:p>
    <w:p w14:paraId="0F55360B" w14:textId="4C9101E3" w:rsidR="00CC0F6B" w:rsidRPr="00DD5FEC" w:rsidRDefault="00CC0F6B" w:rsidP="00E30748">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The project also focuses on improving cooperation between stakeholders at the national and local level dealing with SMEs.</w:t>
      </w:r>
    </w:p>
    <w:p w14:paraId="7202517B" w14:textId="4744AA5F" w:rsidR="00CC0F6B" w:rsidRPr="00DD5FEC" w:rsidRDefault="00CC0F6B" w:rsidP="00CC0F6B">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Further on, support will be provided to the MEDT</w:t>
      </w:r>
      <w:r w:rsidR="00AA6858" w:rsidRPr="00DD5FEC">
        <w:rPr>
          <w:rFonts w:ascii="Times New Roman" w:eastAsia="Arial Unicode MS" w:hAnsi="Times New Roman"/>
          <w:sz w:val="22"/>
          <w:szCs w:val="22"/>
          <w:lang w:eastAsia="de-DE"/>
        </w:rPr>
        <w:t xml:space="preserve"> and</w:t>
      </w:r>
      <w:r w:rsidRPr="00DD5FEC">
        <w:rPr>
          <w:rFonts w:ascii="Times New Roman" w:eastAsia="Arial Unicode MS" w:hAnsi="Times New Roman"/>
          <w:sz w:val="22"/>
          <w:szCs w:val="22"/>
          <w:lang w:eastAsia="de-DE"/>
        </w:rPr>
        <w:t xml:space="preserve"> other beneficiaries </w:t>
      </w:r>
      <w:r w:rsidR="00AA6858" w:rsidRPr="00DD5FEC">
        <w:rPr>
          <w:rFonts w:ascii="Times New Roman" w:eastAsia="Arial Unicode MS" w:hAnsi="Times New Roman"/>
          <w:sz w:val="22"/>
          <w:szCs w:val="22"/>
          <w:lang w:eastAsia="de-DE"/>
        </w:rPr>
        <w:t xml:space="preserve">institutions in programming, implementation, monitoring and evaluation of </w:t>
      </w:r>
      <w:r w:rsidR="004D224C" w:rsidRPr="00DD5FEC">
        <w:rPr>
          <w:rFonts w:ascii="Times New Roman" w:eastAsia="Arial Unicode MS" w:hAnsi="Times New Roman"/>
          <w:sz w:val="22"/>
          <w:szCs w:val="22"/>
          <w:lang w:eastAsia="de-DE"/>
        </w:rPr>
        <w:t xml:space="preserve">EU-funded </w:t>
      </w:r>
      <w:r w:rsidR="00AA6858" w:rsidRPr="00DD5FEC">
        <w:rPr>
          <w:rFonts w:ascii="Times New Roman" w:eastAsia="Arial Unicode MS" w:hAnsi="Times New Roman"/>
          <w:sz w:val="22"/>
          <w:szCs w:val="22"/>
          <w:lang w:eastAsia="de-DE"/>
        </w:rPr>
        <w:t>projects. Also</w:t>
      </w:r>
      <w:r w:rsidRPr="00DD5FEC">
        <w:rPr>
          <w:rFonts w:ascii="Times New Roman" w:eastAsia="Arial Unicode MS" w:hAnsi="Times New Roman"/>
          <w:sz w:val="22"/>
          <w:szCs w:val="22"/>
          <w:lang w:eastAsia="de-DE"/>
        </w:rPr>
        <w:t xml:space="preserve"> strengthening institutional and human capacities at national and local level to participate in the</w:t>
      </w:r>
      <w:r w:rsidR="002F151F" w:rsidRPr="00DD5FEC">
        <w:rPr>
          <w:rFonts w:ascii="Times New Roman" w:eastAsia="Arial Unicode MS" w:hAnsi="Times New Roman"/>
          <w:sz w:val="22"/>
          <w:szCs w:val="22"/>
          <w:lang w:eastAsia="de-DE"/>
        </w:rPr>
        <w:t xml:space="preserve"> </w:t>
      </w:r>
      <w:r w:rsidR="002F151F" w:rsidRPr="00DD5FEC">
        <w:rPr>
          <w:rFonts w:ascii="Times New Roman" w:eastAsia="Arial Unicode MS" w:hAnsi="Times New Roman"/>
          <w:sz w:val="22"/>
          <w:szCs w:val="22"/>
          <w:lang w:eastAsia="de-DE"/>
        </w:rPr>
        <w:lastRenderedPageBreak/>
        <w:t>project funded by EU</w:t>
      </w:r>
      <w:r w:rsidRPr="00DD5FEC">
        <w:rPr>
          <w:rFonts w:ascii="Times New Roman" w:eastAsia="Arial Unicode MS" w:hAnsi="Times New Roman"/>
          <w:sz w:val="22"/>
          <w:szCs w:val="22"/>
          <w:lang w:eastAsia="de-DE"/>
        </w:rPr>
        <w:t xml:space="preserve">. One line of activities will provide technical assistance to the beneficiary institutions in the management of grant schemes and in the preparation of </w:t>
      </w:r>
      <w:r w:rsidR="002F151F" w:rsidRPr="00DD5FEC">
        <w:rPr>
          <w:rFonts w:ascii="Times New Roman" w:eastAsia="Arial Unicode MS" w:hAnsi="Times New Roman"/>
          <w:sz w:val="22"/>
          <w:szCs w:val="22"/>
          <w:lang w:eastAsia="de-DE"/>
        </w:rPr>
        <w:t>tender</w:t>
      </w:r>
      <w:r w:rsidRPr="00DD5FEC">
        <w:rPr>
          <w:rFonts w:ascii="Times New Roman" w:eastAsia="Arial Unicode MS" w:hAnsi="Times New Roman"/>
          <w:sz w:val="22"/>
          <w:szCs w:val="22"/>
          <w:lang w:eastAsia="de-DE"/>
        </w:rPr>
        <w:t xml:space="preserve"> documents.</w:t>
      </w:r>
    </w:p>
    <w:p w14:paraId="5299C276" w14:textId="77777777" w:rsidR="004D224C" w:rsidRPr="00DD5FEC" w:rsidRDefault="00707CDC" w:rsidP="00707CDC">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At the national level, the </w:t>
      </w:r>
      <w:r w:rsidR="00597EA2" w:rsidRPr="00DD5FEC">
        <w:rPr>
          <w:rFonts w:ascii="Times New Roman" w:eastAsia="Arial Unicode MS" w:hAnsi="Times New Roman"/>
          <w:sz w:val="22"/>
          <w:szCs w:val="22"/>
          <w:lang w:eastAsia="de-DE"/>
        </w:rPr>
        <w:t>MEDT</w:t>
      </w:r>
      <w:r w:rsidRPr="00DD5FEC">
        <w:rPr>
          <w:rFonts w:ascii="Times New Roman" w:eastAsia="Arial Unicode MS" w:hAnsi="Times New Roman"/>
          <w:sz w:val="22"/>
          <w:szCs w:val="22"/>
          <w:lang w:eastAsia="de-DE"/>
        </w:rPr>
        <w:t xml:space="preserve"> is strongly dedicated in providing horizo</w:t>
      </w:r>
      <w:r w:rsidR="00597EA2" w:rsidRPr="00DD5FEC">
        <w:rPr>
          <w:rFonts w:ascii="Times New Roman" w:eastAsia="Arial Unicode MS" w:hAnsi="Times New Roman"/>
          <w:sz w:val="22"/>
          <w:szCs w:val="22"/>
          <w:lang w:eastAsia="de-DE"/>
        </w:rPr>
        <w:t xml:space="preserve">ntal advisory services for SMEs, </w:t>
      </w:r>
      <w:r w:rsidRPr="00DD5FEC">
        <w:rPr>
          <w:rFonts w:ascii="Times New Roman" w:eastAsia="Arial Unicode MS" w:hAnsi="Times New Roman"/>
          <w:sz w:val="22"/>
          <w:szCs w:val="22"/>
          <w:lang w:eastAsia="de-DE"/>
        </w:rPr>
        <w:t>in particular through direct dialogue with representatives of SMEs that still face many obstacles to development.</w:t>
      </w:r>
      <w:r w:rsidRPr="00DD5FEC">
        <w:rPr>
          <w:rFonts w:ascii="Times New Roman" w:eastAsia="Calibri" w:hAnsi="Times New Roman"/>
          <w:sz w:val="22"/>
          <w:szCs w:val="22"/>
          <w:lang w:eastAsia="en-US"/>
        </w:rPr>
        <w:t xml:space="preserve"> </w:t>
      </w:r>
      <w:r w:rsidRPr="00DD5FEC">
        <w:rPr>
          <w:rFonts w:ascii="Times New Roman" w:eastAsia="Arial Unicode MS" w:hAnsi="Times New Roman"/>
          <w:sz w:val="22"/>
          <w:szCs w:val="22"/>
          <w:lang w:eastAsia="de-DE"/>
        </w:rPr>
        <w:t xml:space="preserve">Former Agency for Development of SMEs and later Direction for Development of Small and Medium Sized Enterprises (DDSME) has been restricted and merged into the </w:t>
      </w:r>
      <w:r w:rsidR="00536211" w:rsidRPr="00DD5FEC">
        <w:rPr>
          <w:rFonts w:ascii="Times New Roman" w:eastAsia="Arial Unicode MS" w:hAnsi="Times New Roman"/>
          <w:sz w:val="22"/>
          <w:szCs w:val="22"/>
          <w:lang w:eastAsia="de-DE"/>
        </w:rPr>
        <w:t xml:space="preserve">former </w:t>
      </w:r>
      <w:r w:rsidRPr="00DD5FEC">
        <w:rPr>
          <w:rFonts w:ascii="Times New Roman" w:eastAsia="Arial Unicode MS" w:hAnsi="Times New Roman"/>
          <w:sz w:val="22"/>
          <w:szCs w:val="22"/>
          <w:lang w:eastAsia="de-DE"/>
        </w:rPr>
        <w:t xml:space="preserve">Ministry of Economy, following the process of the public administration optimization and recommendations within the Public Administration Reform Strategy 2016 - 2020, in December 2017. </w:t>
      </w:r>
    </w:p>
    <w:p w14:paraId="396147EF" w14:textId="754AD351" w:rsidR="00707CDC" w:rsidRPr="00DD5FEC" w:rsidRDefault="00707CDC" w:rsidP="00707CDC">
      <w:pPr>
        <w:spacing w:before="12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rPr>
        <w:t xml:space="preserve">Having in mind that there is no operating national agency for SMEs in Montenegro, presently the </w:t>
      </w:r>
      <w:r w:rsidR="00597EA2" w:rsidRPr="00DD5FEC">
        <w:rPr>
          <w:rFonts w:ascii="Times New Roman" w:eastAsia="Arial Unicode MS" w:hAnsi="Times New Roman"/>
          <w:sz w:val="22"/>
          <w:szCs w:val="22"/>
          <w:lang w:eastAsia="de-DE"/>
        </w:rPr>
        <w:t>MEDT</w:t>
      </w:r>
      <w:r w:rsidRPr="00DD5FEC">
        <w:rPr>
          <w:rFonts w:ascii="Times New Roman" w:eastAsia="Arial Unicode MS" w:hAnsi="Times New Roman"/>
          <w:sz w:val="22"/>
          <w:szCs w:val="22"/>
          <w:lang w:eastAsia="de-DE"/>
        </w:rPr>
        <w:t xml:space="preserve"> through </w:t>
      </w:r>
      <w:r w:rsidR="00597EA2" w:rsidRPr="00DD5FEC">
        <w:rPr>
          <w:rFonts w:ascii="Times New Roman" w:eastAsia="Arial Unicode MS" w:hAnsi="Times New Roman"/>
          <w:sz w:val="22"/>
          <w:szCs w:val="22"/>
          <w:lang w:eastAsia="de-DE"/>
        </w:rPr>
        <w:t>their</w:t>
      </w:r>
      <w:r w:rsidRPr="00DD5FEC">
        <w:rPr>
          <w:rFonts w:ascii="Times New Roman" w:eastAsia="Arial Unicode MS" w:hAnsi="Times New Roman"/>
          <w:sz w:val="22"/>
          <w:szCs w:val="22"/>
          <w:lang w:eastAsia="de-DE"/>
        </w:rPr>
        <w:t xml:space="preserve"> activities </w:t>
      </w:r>
      <w:r w:rsidR="00597EA2" w:rsidRPr="00DD5FEC">
        <w:rPr>
          <w:rFonts w:ascii="Times New Roman" w:eastAsia="Arial Unicode MS" w:hAnsi="Times New Roman"/>
          <w:sz w:val="22"/>
          <w:szCs w:val="22"/>
          <w:lang w:eastAsia="de-DE"/>
        </w:rPr>
        <w:t xml:space="preserve">provides </w:t>
      </w:r>
      <w:r w:rsidRPr="00DD5FEC">
        <w:rPr>
          <w:rFonts w:ascii="Times New Roman" w:eastAsia="Arial Unicode MS" w:hAnsi="Times New Roman"/>
          <w:sz w:val="22"/>
          <w:szCs w:val="22"/>
          <w:lang w:eastAsia="de-DE"/>
        </w:rPr>
        <w:t xml:space="preserve">advisory services and financial support for SMEs. The </w:t>
      </w:r>
      <w:r w:rsidR="00597EA2" w:rsidRPr="00DD5FEC">
        <w:rPr>
          <w:rFonts w:ascii="Times New Roman" w:eastAsia="Arial Unicode MS" w:hAnsi="Times New Roman"/>
          <w:sz w:val="22"/>
          <w:szCs w:val="22"/>
          <w:lang w:eastAsia="de-DE"/>
        </w:rPr>
        <w:t>MEDT</w:t>
      </w:r>
      <w:r w:rsidRPr="00DD5FEC">
        <w:rPr>
          <w:rFonts w:ascii="Times New Roman" w:eastAsia="Arial Unicode MS" w:hAnsi="Times New Roman"/>
          <w:sz w:val="22"/>
          <w:szCs w:val="22"/>
          <w:lang w:eastAsia="de-DE"/>
        </w:rPr>
        <w:t xml:space="preserve"> is the focal point for </w:t>
      </w:r>
      <w:r w:rsidRPr="00DD5FEC">
        <w:rPr>
          <w:rFonts w:ascii="Times New Roman" w:eastAsia="MS Mincho" w:hAnsi="Times New Roman"/>
          <w:sz w:val="22"/>
          <w:szCs w:val="22"/>
          <w:lang w:eastAsia="en-US" w:bidi="en-US"/>
        </w:rPr>
        <w:t xml:space="preserve">delivery of business </w:t>
      </w:r>
      <w:r w:rsidR="00CC0F6B" w:rsidRPr="00DD5FEC">
        <w:rPr>
          <w:rFonts w:ascii="Times New Roman" w:eastAsia="MS Mincho" w:hAnsi="Times New Roman"/>
          <w:sz w:val="22"/>
          <w:szCs w:val="22"/>
          <w:lang w:eastAsia="en-US" w:bidi="en-US"/>
        </w:rPr>
        <w:t>advisory</w:t>
      </w:r>
      <w:r w:rsidRPr="00DD5FEC">
        <w:rPr>
          <w:rFonts w:ascii="Times New Roman" w:eastAsia="MS Mincho" w:hAnsi="Times New Roman"/>
          <w:sz w:val="22"/>
          <w:szCs w:val="22"/>
          <w:lang w:eastAsia="en-US" w:bidi="en-US"/>
        </w:rPr>
        <w:t xml:space="preserve"> services to companies. </w:t>
      </w:r>
      <w:r w:rsidRPr="00DD5FEC">
        <w:rPr>
          <w:rFonts w:ascii="Times New Roman" w:eastAsia="Arial Unicode MS" w:hAnsi="Times New Roman"/>
          <w:sz w:val="22"/>
          <w:szCs w:val="22"/>
          <w:lang w:eastAsia="de-DE" w:bidi="en-US"/>
        </w:rPr>
        <w:t xml:space="preserve">Key functions performed by </w:t>
      </w:r>
      <w:r w:rsidR="00597EA2" w:rsidRPr="00DD5FEC">
        <w:rPr>
          <w:rFonts w:ascii="Times New Roman" w:eastAsia="Arial Unicode MS" w:hAnsi="Times New Roman"/>
          <w:sz w:val="22"/>
          <w:szCs w:val="22"/>
          <w:lang w:eastAsia="de-DE" w:bidi="en-US"/>
        </w:rPr>
        <w:t>MEDT</w:t>
      </w:r>
      <w:r w:rsidRPr="00DD5FEC">
        <w:rPr>
          <w:rFonts w:ascii="Times New Roman" w:eastAsia="Arial Unicode MS" w:hAnsi="Times New Roman"/>
          <w:sz w:val="22"/>
          <w:szCs w:val="22"/>
          <w:lang w:eastAsia="de-DE" w:bidi="en-US"/>
        </w:rPr>
        <w:t xml:space="preserve"> include, but are not limited to:</w:t>
      </w:r>
    </w:p>
    <w:p w14:paraId="641162B4" w14:textId="77777777"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Policy creation aimed at supporting and improving the overall investment processes in Montenegro;</w:t>
      </w:r>
    </w:p>
    <w:p w14:paraId="0A048D27" w14:textId="77777777"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 xml:space="preserve">Project coordination, monitoring, control and reporting and other project-related functions for various EU funded projects/programs;  </w:t>
      </w:r>
    </w:p>
    <w:p w14:paraId="6BA7CB03" w14:textId="77777777"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Cooperation with local and national government institutions on programs that provide non-financial and financial support for starting and developing businesses;</w:t>
      </w:r>
    </w:p>
    <w:p w14:paraId="1F24149F" w14:textId="70A5AC56"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Development of national strategies for reforms and enhancements of the overall business climate, primarily f</w:t>
      </w:r>
      <w:r w:rsidR="00597EA2" w:rsidRPr="00DD5FEC">
        <w:rPr>
          <w:rFonts w:ascii="Times New Roman" w:eastAsia="Arial Unicode MS" w:hAnsi="Times New Roman"/>
          <w:sz w:val="22"/>
          <w:szCs w:val="22"/>
          <w:lang w:eastAsia="de-DE" w:bidi="en-US"/>
        </w:rPr>
        <w:t xml:space="preserve">ocusing on </w:t>
      </w:r>
      <w:r w:rsidRPr="00DD5FEC">
        <w:rPr>
          <w:rFonts w:ascii="Times New Roman" w:eastAsia="Arial Unicode MS" w:hAnsi="Times New Roman"/>
          <w:sz w:val="22"/>
          <w:szCs w:val="22"/>
          <w:lang w:eastAsia="de-DE" w:bidi="en-US"/>
        </w:rPr>
        <w:t>SMEs;</w:t>
      </w:r>
    </w:p>
    <w:p w14:paraId="4637EC35" w14:textId="77777777"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Provide inter-ministerial coordination and participate in development of new and amendment of existing legislation and regulations associated impacting the business environment;</w:t>
      </w:r>
    </w:p>
    <w:p w14:paraId="6A6D7BED" w14:textId="77777777"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Communication and networking with international institutions and agencies to enable and increase investments;</w:t>
      </w:r>
    </w:p>
    <w:p w14:paraId="053828AA" w14:textId="793E4C81" w:rsidR="00707CDC" w:rsidRPr="00DD5FEC" w:rsidRDefault="00707CDC" w:rsidP="007D7A0D">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 xml:space="preserve">Design, and implementation </w:t>
      </w:r>
      <w:r w:rsidR="00597EA2" w:rsidRPr="00DD5FEC">
        <w:rPr>
          <w:rFonts w:ascii="Times New Roman" w:eastAsia="Arial Unicode MS" w:hAnsi="Times New Roman"/>
          <w:sz w:val="22"/>
          <w:szCs w:val="22"/>
          <w:lang w:eastAsia="de-DE" w:bidi="en-US"/>
        </w:rPr>
        <w:t xml:space="preserve">of other measures that support </w:t>
      </w:r>
      <w:r w:rsidRPr="00DD5FEC">
        <w:rPr>
          <w:rFonts w:ascii="Times New Roman" w:eastAsia="Arial Unicode MS" w:hAnsi="Times New Roman"/>
          <w:sz w:val="22"/>
          <w:szCs w:val="22"/>
          <w:lang w:eastAsia="de-DE" w:bidi="en-US"/>
        </w:rPr>
        <w:t>SMEs;</w:t>
      </w:r>
    </w:p>
    <w:p w14:paraId="46E9888F" w14:textId="40ABAE80" w:rsidR="00707CDC" w:rsidRPr="00620691" w:rsidRDefault="00707CDC" w:rsidP="00620691">
      <w:pPr>
        <w:pStyle w:val="ListParagraph"/>
        <w:numPr>
          <w:ilvl w:val="0"/>
          <w:numId w:val="25"/>
        </w:numPr>
        <w:spacing w:before="120" w:after="0"/>
        <w:rPr>
          <w:rFonts w:ascii="Times New Roman" w:eastAsia="Arial Unicode MS" w:hAnsi="Times New Roman"/>
          <w:sz w:val="22"/>
          <w:szCs w:val="22"/>
          <w:lang w:eastAsia="de-DE" w:bidi="en-US"/>
        </w:rPr>
      </w:pPr>
      <w:r w:rsidRPr="00DD5FEC">
        <w:rPr>
          <w:rFonts w:ascii="Times New Roman" w:eastAsia="Arial Unicode MS" w:hAnsi="Times New Roman"/>
          <w:sz w:val="22"/>
          <w:szCs w:val="22"/>
          <w:lang w:eastAsia="de-DE" w:bidi="en-US"/>
        </w:rPr>
        <w:t>Providing advisory support, assistance and knowledge sharing thr</w:t>
      </w:r>
      <w:r w:rsidR="00597EA2" w:rsidRPr="00DD5FEC">
        <w:rPr>
          <w:rFonts w:ascii="Times New Roman" w:eastAsia="Arial Unicode MS" w:hAnsi="Times New Roman"/>
          <w:sz w:val="22"/>
          <w:szCs w:val="22"/>
          <w:lang w:eastAsia="de-DE" w:bidi="en-US"/>
        </w:rPr>
        <w:t xml:space="preserve">ough direct communication with </w:t>
      </w:r>
      <w:r w:rsidRPr="00DD5FEC">
        <w:rPr>
          <w:rFonts w:ascii="Times New Roman" w:eastAsia="Arial Unicode MS" w:hAnsi="Times New Roman"/>
          <w:sz w:val="22"/>
          <w:szCs w:val="22"/>
          <w:lang w:eastAsia="de-DE" w:bidi="en-US"/>
        </w:rPr>
        <w:t xml:space="preserve">SMEs. </w:t>
      </w:r>
    </w:p>
    <w:p w14:paraId="0828ADD8" w14:textId="1C2EC7E1" w:rsidR="00707CDC" w:rsidRPr="00DD5FEC" w:rsidRDefault="00707CDC" w:rsidP="00707CDC">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The </w:t>
      </w:r>
      <w:r w:rsidR="00536211" w:rsidRPr="00DD5FEC">
        <w:rPr>
          <w:rFonts w:ascii="Times New Roman" w:eastAsia="Arial Unicode MS" w:hAnsi="Times New Roman"/>
          <w:sz w:val="22"/>
          <w:szCs w:val="22"/>
          <w:lang w:eastAsia="de-DE"/>
        </w:rPr>
        <w:t xml:space="preserve">Directorate for competitiveness enhancement </w:t>
      </w:r>
      <w:r w:rsidRPr="00DD5FEC">
        <w:rPr>
          <w:rFonts w:ascii="Times New Roman" w:eastAsia="Arial Unicode MS" w:hAnsi="Times New Roman"/>
          <w:sz w:val="22"/>
          <w:szCs w:val="22"/>
          <w:lang w:eastAsia="de-DE"/>
        </w:rPr>
        <w:t xml:space="preserve">provides financial and non-financial support through the </w:t>
      </w:r>
      <w:r w:rsidRPr="00DD5FEC">
        <w:rPr>
          <w:rFonts w:ascii="Times New Roman" w:eastAsia="Arial Unicode MS" w:hAnsi="Times New Roman"/>
          <w:i/>
          <w:sz w:val="22"/>
          <w:szCs w:val="22"/>
          <w:lang w:eastAsia="de-DE"/>
        </w:rPr>
        <w:t>Programme for enhancement of competitiveness</w:t>
      </w:r>
      <w:r w:rsidRPr="00DD5FEC">
        <w:rPr>
          <w:rFonts w:ascii="Times New Roman" w:eastAsia="Arial Unicode MS" w:hAnsi="Times New Roman"/>
          <w:sz w:val="22"/>
          <w:szCs w:val="22"/>
          <w:lang w:eastAsia="de-DE"/>
        </w:rPr>
        <w:t>, an integrated package of thematic programme lines designed for SMEs</w:t>
      </w:r>
      <w:r w:rsidR="00077F7D" w:rsidRPr="00DD5FEC">
        <w:rPr>
          <w:rFonts w:ascii="Times New Roman" w:eastAsia="Arial Unicode MS" w:hAnsi="Times New Roman"/>
          <w:sz w:val="22"/>
          <w:szCs w:val="22"/>
          <w:lang w:eastAsia="de-DE"/>
        </w:rPr>
        <w:t>.</w:t>
      </w:r>
    </w:p>
    <w:p w14:paraId="180DE26D" w14:textId="72429474" w:rsidR="00267D3C" w:rsidRPr="00DD5FEC" w:rsidRDefault="00707CDC" w:rsidP="00707CDC">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Evidently, </w:t>
      </w:r>
      <w:r w:rsidR="00597EA2" w:rsidRPr="00DD5FEC">
        <w:rPr>
          <w:rFonts w:ascii="Times New Roman" w:eastAsia="Arial Unicode MS" w:hAnsi="Times New Roman"/>
          <w:sz w:val="22"/>
          <w:szCs w:val="22"/>
          <w:lang w:eastAsia="de-DE"/>
        </w:rPr>
        <w:t>MEDT</w:t>
      </w:r>
      <w:r w:rsidRPr="00DD5FEC">
        <w:rPr>
          <w:rFonts w:ascii="Times New Roman" w:eastAsia="Arial Unicode MS" w:hAnsi="Times New Roman"/>
          <w:sz w:val="22"/>
          <w:szCs w:val="22"/>
          <w:lang w:eastAsia="de-DE"/>
        </w:rPr>
        <w:t xml:space="preserve"> alone cannot address wide challenges that SMEs face, only through financial and non-financial assistance under the </w:t>
      </w:r>
      <w:r w:rsidRPr="00DD5FEC">
        <w:rPr>
          <w:rFonts w:ascii="Times New Roman" w:eastAsia="Arial Unicode MS" w:hAnsi="Times New Roman"/>
          <w:i/>
          <w:sz w:val="22"/>
          <w:szCs w:val="22"/>
          <w:lang w:eastAsia="de-DE"/>
        </w:rPr>
        <w:t>Programme for enhancement of competitiveness</w:t>
      </w:r>
      <w:r w:rsidRPr="00DD5FEC">
        <w:rPr>
          <w:rFonts w:ascii="Times New Roman" w:eastAsia="Arial Unicode MS" w:hAnsi="Times New Roman"/>
          <w:sz w:val="22"/>
          <w:szCs w:val="22"/>
          <w:lang w:eastAsia="de-DE"/>
        </w:rPr>
        <w:t xml:space="preserve">. Additional services for business development need to be continuously developed and improved in order to target better the actual needs of SMEs and the private sector as a whole. </w:t>
      </w:r>
    </w:p>
    <w:p w14:paraId="038A4EE6" w14:textId="6C0A2F0A" w:rsidR="00267D3C" w:rsidRPr="00DD5FEC" w:rsidRDefault="00267D3C" w:rsidP="00707CDC">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The second component of the project focuses on enhancing institutional and private sector capacities for absorption and management of EU funds. The following objective will be fulfilled th</w:t>
      </w:r>
      <w:r w:rsidR="00CD6E9C" w:rsidRPr="00DD5FEC">
        <w:rPr>
          <w:rFonts w:ascii="Times New Roman" w:eastAsia="Arial Unicode MS" w:hAnsi="Times New Roman"/>
          <w:sz w:val="22"/>
          <w:szCs w:val="22"/>
          <w:lang w:eastAsia="de-DE"/>
        </w:rPr>
        <w:t>r</w:t>
      </w:r>
      <w:r w:rsidRPr="00DD5FEC">
        <w:rPr>
          <w:rFonts w:ascii="Times New Roman" w:eastAsia="Arial Unicode MS" w:hAnsi="Times New Roman"/>
          <w:sz w:val="22"/>
          <w:szCs w:val="22"/>
          <w:lang w:eastAsia="de-DE"/>
        </w:rPr>
        <w:t>ough capacity building programmes, mentoring</w:t>
      </w:r>
      <w:r w:rsidR="00CD6E9C" w:rsidRPr="00DD5FEC">
        <w:rPr>
          <w:rFonts w:ascii="Times New Roman" w:eastAsia="Arial Unicode MS" w:hAnsi="Times New Roman"/>
          <w:sz w:val="22"/>
          <w:szCs w:val="22"/>
          <w:lang w:eastAsia="de-DE"/>
        </w:rPr>
        <w:t xml:space="preserve"> support</w:t>
      </w:r>
      <w:r w:rsidRPr="00DD5FEC">
        <w:rPr>
          <w:rFonts w:ascii="Times New Roman" w:eastAsia="Arial Unicode MS" w:hAnsi="Times New Roman"/>
          <w:sz w:val="22"/>
          <w:szCs w:val="22"/>
          <w:lang w:eastAsia="de-DE"/>
        </w:rPr>
        <w:t xml:space="preserve">, promotional activities and other </w:t>
      </w:r>
      <w:r w:rsidR="00CD6E9C" w:rsidRPr="00DD5FEC">
        <w:rPr>
          <w:rFonts w:ascii="Times New Roman" w:eastAsia="Arial Unicode MS" w:hAnsi="Times New Roman"/>
          <w:sz w:val="22"/>
          <w:szCs w:val="22"/>
          <w:lang w:eastAsia="de-DE"/>
        </w:rPr>
        <w:t>activities related to EU project management.</w:t>
      </w:r>
    </w:p>
    <w:p w14:paraId="0A856114" w14:textId="6C37B4D6" w:rsidR="00CD6E9C" w:rsidRPr="00DD5FEC" w:rsidRDefault="00CD6E9C" w:rsidP="00CD6E9C">
      <w:pPr>
        <w:spacing w:before="120"/>
        <w:rPr>
          <w:rFonts w:ascii="Times New Roman" w:eastAsia="Arial Unicode MS" w:hAnsi="Times New Roman"/>
          <w:sz w:val="22"/>
          <w:szCs w:val="22"/>
          <w:lang w:eastAsia="de-DE"/>
        </w:rPr>
      </w:pPr>
      <w:r w:rsidRPr="00DD5FEC">
        <w:rPr>
          <w:rFonts w:ascii="Times New Roman" w:eastAsia="Arial Unicode MS" w:hAnsi="Times New Roman"/>
          <w:sz w:val="22"/>
          <w:szCs w:val="22"/>
          <w:lang w:eastAsia="de-DE"/>
        </w:rPr>
        <w:t xml:space="preserve">Directorate for European Integration and EU funds is in charge for planning, implementation and monitoring of implementation of programmes/projects in the field of competitiveness, economic development, innovation and regional development funded from the EU pre-accession funds (Instrument for Pre-Accession Assistance - IPA) and other </w:t>
      </w:r>
      <w:r w:rsidR="004D224C" w:rsidRPr="00DD5FEC">
        <w:rPr>
          <w:rFonts w:ascii="Times New Roman" w:eastAsia="Arial Unicode MS" w:hAnsi="Times New Roman"/>
          <w:sz w:val="22"/>
          <w:szCs w:val="22"/>
          <w:lang w:eastAsia="de-DE"/>
        </w:rPr>
        <w:t xml:space="preserve">EU and </w:t>
      </w:r>
      <w:r w:rsidRPr="00DD5FEC">
        <w:rPr>
          <w:rFonts w:ascii="Times New Roman" w:eastAsia="Arial Unicode MS" w:hAnsi="Times New Roman"/>
          <w:sz w:val="22"/>
          <w:szCs w:val="22"/>
          <w:lang w:eastAsia="de-DE"/>
        </w:rPr>
        <w:t xml:space="preserve">international funding sources; preparation of documentation for the use of IPA </w:t>
      </w:r>
      <w:r w:rsidR="004D224C" w:rsidRPr="00DD5FEC">
        <w:rPr>
          <w:rFonts w:ascii="Times New Roman" w:eastAsia="Arial Unicode MS" w:hAnsi="Times New Roman"/>
          <w:sz w:val="22"/>
          <w:szCs w:val="22"/>
          <w:lang w:eastAsia="de-DE"/>
        </w:rPr>
        <w:t xml:space="preserve">and other EU </w:t>
      </w:r>
      <w:r w:rsidRPr="00DD5FEC">
        <w:rPr>
          <w:rFonts w:ascii="Times New Roman" w:eastAsia="Arial Unicode MS" w:hAnsi="Times New Roman"/>
          <w:sz w:val="22"/>
          <w:szCs w:val="22"/>
          <w:lang w:eastAsia="de-DE"/>
        </w:rPr>
        <w:t xml:space="preserve">funds within the MEDT and institutions within its jurisdiction; drafting of tender documentation and ensuring the implementation of public procurement procedures and contracting in cooperation with Body; providing information to bodies within the IPA structure relating to performing business and implementation of the action; providing regular public information about activities within the IPA </w:t>
      </w:r>
      <w:r w:rsidR="004D224C" w:rsidRPr="00DD5FEC">
        <w:rPr>
          <w:rFonts w:ascii="Times New Roman" w:eastAsia="Arial Unicode MS" w:hAnsi="Times New Roman"/>
          <w:sz w:val="22"/>
          <w:szCs w:val="22"/>
          <w:lang w:eastAsia="de-DE"/>
        </w:rPr>
        <w:t xml:space="preserve">and other EU funded </w:t>
      </w:r>
      <w:r w:rsidRPr="00DD5FEC">
        <w:rPr>
          <w:rFonts w:ascii="Times New Roman" w:eastAsia="Arial Unicode MS" w:hAnsi="Times New Roman"/>
          <w:sz w:val="22"/>
          <w:szCs w:val="22"/>
          <w:lang w:eastAsia="de-DE"/>
        </w:rPr>
        <w:t>programme.</w:t>
      </w:r>
    </w:p>
    <w:p w14:paraId="45F29FE3" w14:textId="77777777" w:rsidR="00BB1BED" w:rsidRPr="00DD5FEC" w:rsidRDefault="00BB1BED" w:rsidP="006E2226">
      <w:pPr>
        <w:pStyle w:val="Heading3"/>
      </w:pPr>
      <w:r w:rsidRPr="00DD5FEC">
        <w:t>Geographical area to be covered</w:t>
      </w:r>
    </w:p>
    <w:p w14:paraId="07ECAC3F" w14:textId="5A5901CE" w:rsidR="00BB1BED" w:rsidRPr="00DD5FEC" w:rsidRDefault="00707CDC" w:rsidP="00BB1BED">
      <w:pPr>
        <w:rPr>
          <w:rFonts w:ascii="Times New Roman" w:hAnsi="Times New Roman"/>
          <w:sz w:val="22"/>
          <w:szCs w:val="22"/>
        </w:rPr>
      </w:pPr>
      <w:r w:rsidRPr="00DD5FEC">
        <w:rPr>
          <w:rFonts w:ascii="Times New Roman" w:hAnsi="Times New Roman"/>
          <w:sz w:val="22"/>
          <w:szCs w:val="22"/>
        </w:rPr>
        <w:t>Montenegro</w:t>
      </w:r>
    </w:p>
    <w:p w14:paraId="1D98AC21" w14:textId="77777777" w:rsidR="00BB1BED" w:rsidRPr="00DD5FEC" w:rsidRDefault="00BB1BED" w:rsidP="006E2226">
      <w:pPr>
        <w:pStyle w:val="Heading3"/>
      </w:pPr>
      <w:r w:rsidRPr="00DD5FEC">
        <w:lastRenderedPageBreak/>
        <w:t>Target groups</w:t>
      </w:r>
    </w:p>
    <w:p w14:paraId="05102D28" w14:textId="74B61AA5" w:rsidR="00BB1BED" w:rsidRPr="00DD5FEC" w:rsidRDefault="00707CDC" w:rsidP="0005448B">
      <w:pPr>
        <w:spacing w:after="0"/>
        <w:ind w:left="360"/>
        <w:rPr>
          <w:rFonts w:ascii="Times New Roman" w:hAnsi="Times New Roman"/>
          <w:sz w:val="22"/>
          <w:szCs w:val="22"/>
        </w:rPr>
      </w:pPr>
      <w:r w:rsidRPr="00DD5FEC">
        <w:rPr>
          <w:rFonts w:ascii="Times New Roman" w:hAnsi="Times New Roman"/>
          <w:sz w:val="22"/>
          <w:szCs w:val="22"/>
        </w:rPr>
        <w:t>Micro, small and medium sized enterprises</w:t>
      </w:r>
    </w:p>
    <w:p w14:paraId="0929251B" w14:textId="7E0D5053" w:rsidR="00707CDC" w:rsidRPr="00DD5FEC" w:rsidRDefault="00707CDC" w:rsidP="0005448B">
      <w:pPr>
        <w:spacing w:after="0"/>
        <w:ind w:left="360"/>
        <w:rPr>
          <w:rFonts w:ascii="Times New Roman" w:hAnsi="Times New Roman"/>
          <w:sz w:val="22"/>
          <w:szCs w:val="22"/>
        </w:rPr>
      </w:pPr>
      <w:r w:rsidRPr="00DD5FEC">
        <w:rPr>
          <w:rFonts w:ascii="Times New Roman" w:hAnsi="Times New Roman"/>
          <w:sz w:val="22"/>
          <w:szCs w:val="22"/>
        </w:rPr>
        <w:t>Entrepreneurs</w:t>
      </w:r>
    </w:p>
    <w:p w14:paraId="5FCF702B" w14:textId="67AA328F" w:rsidR="00707CDC" w:rsidRPr="00DD5FEC" w:rsidRDefault="00707CDC" w:rsidP="0005448B">
      <w:pPr>
        <w:spacing w:after="0"/>
        <w:ind w:left="360"/>
        <w:rPr>
          <w:rFonts w:ascii="Times New Roman" w:hAnsi="Times New Roman"/>
          <w:sz w:val="22"/>
          <w:szCs w:val="22"/>
        </w:rPr>
      </w:pPr>
      <w:r w:rsidRPr="00DD5FEC">
        <w:rPr>
          <w:rFonts w:ascii="Times New Roman" w:hAnsi="Times New Roman"/>
          <w:sz w:val="22"/>
          <w:szCs w:val="22"/>
        </w:rPr>
        <w:t>Start-ups</w:t>
      </w:r>
    </w:p>
    <w:p w14:paraId="07627444" w14:textId="57701A2E" w:rsidR="00707CDC" w:rsidRPr="00DD5FEC" w:rsidRDefault="00707CDC" w:rsidP="0005448B">
      <w:pPr>
        <w:spacing w:after="0"/>
        <w:ind w:left="360"/>
        <w:rPr>
          <w:rFonts w:ascii="Times New Roman" w:hAnsi="Times New Roman"/>
          <w:sz w:val="22"/>
          <w:szCs w:val="22"/>
        </w:rPr>
      </w:pPr>
    </w:p>
    <w:p w14:paraId="064C37F6" w14:textId="1E6DBC27" w:rsidR="00707CDC" w:rsidRPr="00DD5FEC" w:rsidRDefault="00707CDC" w:rsidP="0005448B">
      <w:pPr>
        <w:spacing w:after="0"/>
        <w:ind w:left="360"/>
        <w:rPr>
          <w:rFonts w:ascii="Times New Roman" w:hAnsi="Times New Roman"/>
          <w:sz w:val="22"/>
          <w:szCs w:val="22"/>
        </w:rPr>
      </w:pPr>
      <w:r w:rsidRPr="00DD5FEC">
        <w:rPr>
          <w:rFonts w:ascii="Times New Roman" w:hAnsi="Times New Roman"/>
          <w:sz w:val="22"/>
          <w:szCs w:val="22"/>
        </w:rPr>
        <w:t>Ministry of Economic Development and Tourism</w:t>
      </w:r>
    </w:p>
    <w:p w14:paraId="0B00BBCE" w14:textId="77777777" w:rsidR="00917BE0" w:rsidRPr="00DD5FEC" w:rsidRDefault="00707CDC" w:rsidP="0005448B">
      <w:pPr>
        <w:spacing w:after="0"/>
        <w:ind w:left="360"/>
        <w:rPr>
          <w:rFonts w:ascii="Times New Roman" w:hAnsi="Times New Roman"/>
          <w:sz w:val="22"/>
          <w:szCs w:val="22"/>
        </w:rPr>
      </w:pPr>
      <w:r w:rsidRPr="00DD5FEC">
        <w:rPr>
          <w:rFonts w:ascii="Times New Roman" w:hAnsi="Times New Roman"/>
          <w:sz w:val="22"/>
          <w:szCs w:val="22"/>
        </w:rPr>
        <w:t>Local authorities in municipalities</w:t>
      </w:r>
    </w:p>
    <w:p w14:paraId="109F7E89" w14:textId="77777777" w:rsidR="005A22A6" w:rsidRPr="00DD5FEC" w:rsidRDefault="00917BE0" w:rsidP="0005448B">
      <w:pPr>
        <w:spacing w:after="0"/>
        <w:ind w:left="360"/>
        <w:rPr>
          <w:rFonts w:ascii="Times New Roman" w:hAnsi="Times New Roman"/>
          <w:sz w:val="22"/>
          <w:szCs w:val="22"/>
        </w:rPr>
      </w:pPr>
      <w:r w:rsidRPr="00DD5FEC">
        <w:rPr>
          <w:rFonts w:ascii="Times New Roman" w:hAnsi="Times New Roman"/>
          <w:sz w:val="22"/>
          <w:szCs w:val="22"/>
        </w:rPr>
        <w:t xml:space="preserve">Business support </w:t>
      </w:r>
      <w:r w:rsidR="00186185" w:rsidRPr="00DD5FEC">
        <w:rPr>
          <w:rFonts w:ascii="Times New Roman" w:hAnsi="Times New Roman"/>
          <w:sz w:val="22"/>
          <w:szCs w:val="22"/>
        </w:rPr>
        <w:t>organisations</w:t>
      </w:r>
      <w:r w:rsidR="00707CDC" w:rsidRPr="00DD5FEC">
        <w:rPr>
          <w:rFonts w:ascii="Times New Roman" w:hAnsi="Times New Roman"/>
          <w:sz w:val="22"/>
          <w:szCs w:val="22"/>
        </w:rPr>
        <w:t xml:space="preserve"> </w:t>
      </w:r>
    </w:p>
    <w:p w14:paraId="138C4558" w14:textId="65DDFF7E" w:rsidR="00707CDC" w:rsidRPr="00DD5FEC" w:rsidRDefault="005A22A6" w:rsidP="0005448B">
      <w:pPr>
        <w:spacing w:after="0"/>
        <w:ind w:left="360"/>
        <w:rPr>
          <w:rFonts w:ascii="Times New Roman" w:hAnsi="Times New Roman"/>
          <w:sz w:val="22"/>
          <w:szCs w:val="22"/>
        </w:rPr>
      </w:pPr>
      <w:r w:rsidRPr="00DD5FEC">
        <w:rPr>
          <w:rFonts w:ascii="Times New Roman" w:hAnsi="Times New Roman"/>
          <w:sz w:val="22"/>
          <w:szCs w:val="22"/>
        </w:rPr>
        <w:t>Chamber of Commerce</w:t>
      </w:r>
    </w:p>
    <w:p w14:paraId="58A10FBA" w14:textId="77777777" w:rsidR="00BB1BED" w:rsidRPr="00DD5FEC" w:rsidRDefault="00BB1BED" w:rsidP="00150137">
      <w:pPr>
        <w:pStyle w:val="Heading2"/>
        <w:rPr>
          <w:sz w:val="22"/>
          <w:szCs w:val="22"/>
        </w:rPr>
      </w:pPr>
      <w:bookmarkStart w:id="17" w:name="_Ref20657225"/>
      <w:bookmarkStart w:id="18" w:name="_Toc438131777"/>
      <w:r w:rsidRPr="00DD5FEC">
        <w:rPr>
          <w:sz w:val="22"/>
          <w:szCs w:val="22"/>
        </w:rPr>
        <w:t>Specific work</w:t>
      </w:r>
      <w:bookmarkEnd w:id="17"/>
      <w:bookmarkEnd w:id="18"/>
    </w:p>
    <w:p w14:paraId="32200BAC" w14:textId="10A6B50E" w:rsidR="00597EA2" w:rsidRPr="00DD5FEC" w:rsidRDefault="00597EA2" w:rsidP="00597EA2">
      <w:pPr>
        <w:spacing w:after="160" w:line="259" w:lineRule="auto"/>
        <w:jc w:val="left"/>
        <w:rPr>
          <w:rFonts w:ascii="Times New Roman" w:eastAsiaTheme="minorHAnsi" w:hAnsi="Times New Roman"/>
          <w:bCs/>
          <w:sz w:val="22"/>
          <w:szCs w:val="22"/>
          <w:highlight w:val="yellow"/>
          <w:u w:val="single"/>
          <w:lang w:eastAsia="en-US"/>
        </w:rPr>
      </w:pPr>
      <w:r w:rsidRPr="00DD5FEC">
        <w:rPr>
          <w:rFonts w:ascii="Times New Roman" w:eastAsiaTheme="minorHAnsi" w:hAnsi="Times New Roman"/>
          <w:bCs/>
          <w:sz w:val="22"/>
          <w:szCs w:val="22"/>
          <w:u w:val="single"/>
          <w:lang w:eastAsia="en-US"/>
        </w:rPr>
        <w:t xml:space="preserve">Outcome 1: </w:t>
      </w:r>
      <w:r w:rsidR="006C3E6E" w:rsidRPr="00DD5FEC">
        <w:rPr>
          <w:rFonts w:ascii="Times New Roman" w:eastAsiaTheme="minorHAnsi" w:hAnsi="Times New Roman"/>
          <w:bCs/>
          <w:sz w:val="22"/>
          <w:szCs w:val="22"/>
          <w:u w:val="single"/>
          <w:lang w:eastAsia="en-US"/>
        </w:rPr>
        <w:t>Establishing Business Development Services (BDS) for SMEs</w:t>
      </w:r>
      <w:r w:rsidRPr="00DD5FEC">
        <w:rPr>
          <w:rFonts w:ascii="Times New Roman" w:eastAsiaTheme="minorHAnsi" w:hAnsi="Times New Roman"/>
          <w:bCs/>
          <w:sz w:val="22"/>
          <w:szCs w:val="22"/>
          <w:u w:val="single"/>
          <w:lang w:eastAsia="en-US"/>
        </w:rPr>
        <w:t xml:space="preserve"> </w:t>
      </w:r>
      <w:r w:rsidRPr="00DD5FEC">
        <w:rPr>
          <w:rFonts w:ascii="Times New Roman" w:eastAsiaTheme="minorHAnsi" w:hAnsi="Times New Roman"/>
          <w:bCs/>
          <w:sz w:val="22"/>
          <w:szCs w:val="22"/>
          <w:highlight w:val="yellow"/>
          <w:u w:val="single"/>
          <w:lang w:eastAsia="en-US"/>
        </w:rPr>
        <w:t xml:space="preserve"> </w:t>
      </w:r>
    </w:p>
    <w:p w14:paraId="126C85DA" w14:textId="416FC4A4" w:rsidR="00597EA2" w:rsidRPr="00DD5FEC" w:rsidRDefault="006C3E6E" w:rsidP="007D7A0D">
      <w:pPr>
        <w:numPr>
          <w:ilvl w:val="1"/>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Analysis of existing institutional structure and other relevant </w:t>
      </w:r>
      <w:bookmarkStart w:id="19" w:name="_Hlk116461713"/>
      <w:r w:rsidR="00A5666A" w:rsidRPr="00DD5FEC">
        <w:rPr>
          <w:rFonts w:ascii="Times New Roman" w:eastAsiaTheme="minorHAnsi" w:hAnsi="Times New Roman"/>
          <w:sz w:val="22"/>
          <w:szCs w:val="22"/>
          <w:lang w:eastAsia="en-US"/>
        </w:rPr>
        <w:t xml:space="preserve">actors </w:t>
      </w:r>
      <w:r w:rsidRPr="00DD5FEC">
        <w:rPr>
          <w:rFonts w:ascii="Times New Roman" w:eastAsiaTheme="minorHAnsi" w:hAnsi="Times New Roman"/>
          <w:sz w:val="22"/>
          <w:szCs w:val="22"/>
          <w:lang w:eastAsia="en-US"/>
        </w:rPr>
        <w:t xml:space="preserve">providing advisory services for SMEs </w:t>
      </w:r>
      <w:bookmarkEnd w:id="19"/>
      <w:r w:rsidRPr="00DD5FEC">
        <w:rPr>
          <w:rFonts w:ascii="Times New Roman" w:eastAsiaTheme="minorHAnsi" w:hAnsi="Times New Roman"/>
          <w:sz w:val="22"/>
          <w:szCs w:val="22"/>
          <w:lang w:eastAsia="en-US"/>
        </w:rPr>
        <w:t xml:space="preserve">with guidance for development of </w:t>
      </w:r>
      <w:r w:rsidR="007A4E94" w:rsidRPr="00DD5FEC">
        <w:rPr>
          <w:rFonts w:ascii="Times New Roman" w:eastAsiaTheme="minorHAnsi" w:hAnsi="Times New Roman"/>
          <w:sz w:val="22"/>
          <w:szCs w:val="22"/>
          <w:lang w:eastAsia="en-US"/>
        </w:rPr>
        <w:t xml:space="preserve">future </w:t>
      </w:r>
      <w:r w:rsidRPr="00DD5FEC">
        <w:rPr>
          <w:rFonts w:ascii="Times New Roman" w:eastAsiaTheme="minorHAnsi" w:hAnsi="Times New Roman"/>
          <w:sz w:val="22"/>
          <w:szCs w:val="22"/>
          <w:lang w:eastAsia="en-US"/>
        </w:rPr>
        <w:t xml:space="preserve">BDS </w:t>
      </w:r>
      <w:r w:rsidR="00FE4B7E" w:rsidRPr="00DD5FEC">
        <w:rPr>
          <w:rFonts w:ascii="Times New Roman" w:eastAsiaTheme="minorHAnsi" w:hAnsi="Times New Roman"/>
          <w:sz w:val="22"/>
          <w:szCs w:val="22"/>
          <w:lang w:eastAsia="en-US"/>
        </w:rPr>
        <w:t xml:space="preserve">provider </w:t>
      </w:r>
      <w:r w:rsidR="007A4E94" w:rsidRPr="00DD5FEC">
        <w:rPr>
          <w:rFonts w:ascii="Times New Roman" w:eastAsiaTheme="minorHAnsi" w:hAnsi="Times New Roman"/>
          <w:sz w:val="22"/>
          <w:szCs w:val="22"/>
          <w:lang w:eastAsia="en-US"/>
        </w:rPr>
        <w:t>structure</w:t>
      </w:r>
    </w:p>
    <w:p w14:paraId="6857B0CB" w14:textId="7568DC39" w:rsidR="00597EA2" w:rsidRPr="00DD5FEC" w:rsidRDefault="006C3E6E"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Analysis of existing institutional structure and other relevant </w:t>
      </w:r>
      <w:r w:rsidR="00A5666A" w:rsidRPr="00DD5FEC">
        <w:rPr>
          <w:rFonts w:ascii="Times New Roman" w:eastAsiaTheme="minorHAnsi" w:hAnsi="Times New Roman"/>
          <w:sz w:val="22"/>
          <w:szCs w:val="22"/>
          <w:lang w:eastAsia="en-US"/>
        </w:rPr>
        <w:t xml:space="preserve">actors </w:t>
      </w:r>
      <w:r w:rsidRPr="00DD5FEC">
        <w:rPr>
          <w:rFonts w:ascii="Times New Roman" w:eastAsiaTheme="minorHAnsi" w:hAnsi="Times New Roman"/>
          <w:sz w:val="22"/>
          <w:szCs w:val="22"/>
          <w:lang w:eastAsia="en-US"/>
        </w:rPr>
        <w:t xml:space="preserve">providing advisory services for SMEs </w:t>
      </w:r>
      <w:r w:rsidR="008A1FC8" w:rsidRPr="00DD5FEC">
        <w:rPr>
          <w:rFonts w:ascii="Times New Roman" w:eastAsiaTheme="minorHAnsi" w:hAnsi="Times New Roman"/>
          <w:sz w:val="22"/>
          <w:szCs w:val="22"/>
          <w:lang w:eastAsia="en-US"/>
        </w:rPr>
        <w:t>(business support organisations, local business info centres, etc.)</w:t>
      </w:r>
    </w:p>
    <w:p w14:paraId="07264938" w14:textId="7CBC90DF" w:rsidR="00597EA2" w:rsidRPr="00DD5FEC" w:rsidRDefault="00597EA2"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Guidelines for </w:t>
      </w:r>
      <w:r w:rsidR="006C3E6E" w:rsidRPr="00DD5FEC">
        <w:rPr>
          <w:rFonts w:ascii="Times New Roman" w:eastAsiaTheme="minorHAnsi" w:hAnsi="Times New Roman"/>
          <w:sz w:val="22"/>
          <w:szCs w:val="22"/>
          <w:lang w:eastAsia="en-US"/>
        </w:rPr>
        <w:t xml:space="preserve">development of BDS </w:t>
      </w:r>
      <w:r w:rsidR="00FE4B7E" w:rsidRPr="00DD5FEC">
        <w:rPr>
          <w:rFonts w:ascii="Times New Roman" w:eastAsiaTheme="minorHAnsi" w:hAnsi="Times New Roman"/>
          <w:sz w:val="22"/>
          <w:szCs w:val="22"/>
          <w:lang w:eastAsia="en-US"/>
        </w:rPr>
        <w:t>structure</w:t>
      </w:r>
      <w:r w:rsidR="002632A5" w:rsidRPr="00DD5FEC">
        <w:rPr>
          <w:rFonts w:ascii="Times New Roman" w:eastAsiaTheme="minorHAnsi" w:hAnsi="Times New Roman"/>
          <w:sz w:val="22"/>
          <w:szCs w:val="22"/>
          <w:lang w:eastAsia="en-US"/>
        </w:rPr>
        <w:t xml:space="preserve"> </w:t>
      </w:r>
      <w:r w:rsidRPr="00DD5FEC">
        <w:rPr>
          <w:rFonts w:ascii="Times New Roman" w:eastAsiaTheme="minorHAnsi" w:hAnsi="Times New Roman"/>
          <w:sz w:val="22"/>
          <w:szCs w:val="22"/>
          <w:lang w:eastAsia="en-US"/>
        </w:rPr>
        <w:t>in Montenegro in line with best practices in EU</w:t>
      </w:r>
    </w:p>
    <w:p w14:paraId="127B3312" w14:textId="77777777" w:rsidR="008A1FC8" w:rsidRPr="00DD5FEC" w:rsidRDefault="008A1FC8" w:rsidP="008A1FC8">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Providing recommendations for establishment of future structure that will be used for management of Structural Funds</w:t>
      </w:r>
    </w:p>
    <w:p w14:paraId="3D149281" w14:textId="0143FC8B" w:rsidR="00A5666A" w:rsidRPr="00DD5FEC" w:rsidRDefault="00A5666A"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Developing criteria and quality standards for regional BDS </w:t>
      </w:r>
    </w:p>
    <w:p w14:paraId="7AC808C7" w14:textId="77777777" w:rsidR="004F0DF4" w:rsidRPr="00DD5FEC" w:rsidRDefault="004F0DF4" w:rsidP="004F0DF4">
      <w:pPr>
        <w:spacing w:after="160" w:line="259" w:lineRule="auto"/>
        <w:ind w:left="720"/>
        <w:contextualSpacing/>
        <w:jc w:val="left"/>
        <w:rPr>
          <w:rFonts w:ascii="Times New Roman" w:eastAsiaTheme="minorHAnsi" w:hAnsi="Times New Roman"/>
          <w:sz w:val="22"/>
          <w:szCs w:val="22"/>
          <w:lang w:eastAsia="en-US"/>
        </w:rPr>
      </w:pPr>
    </w:p>
    <w:p w14:paraId="05D7AAE0" w14:textId="0CE0247C" w:rsidR="000554A5" w:rsidRPr="00DD5FEC" w:rsidRDefault="000554A5" w:rsidP="000554A5">
      <w:pPr>
        <w:numPr>
          <w:ilvl w:val="1"/>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BDS </w:t>
      </w:r>
      <w:r w:rsidR="00FE4B7E" w:rsidRPr="00DD5FEC">
        <w:rPr>
          <w:rFonts w:ascii="Times New Roman" w:eastAsiaTheme="minorHAnsi" w:hAnsi="Times New Roman"/>
          <w:sz w:val="22"/>
          <w:szCs w:val="22"/>
          <w:lang w:eastAsia="en-US"/>
        </w:rPr>
        <w:t xml:space="preserve">help-desk </w:t>
      </w:r>
      <w:r w:rsidRPr="00DD5FEC">
        <w:rPr>
          <w:rFonts w:ascii="Times New Roman" w:eastAsiaTheme="minorHAnsi" w:hAnsi="Times New Roman"/>
          <w:sz w:val="22"/>
          <w:szCs w:val="22"/>
          <w:lang w:eastAsia="en-US"/>
        </w:rPr>
        <w:t xml:space="preserve">established and functional, providing vide set of advisory services         </w:t>
      </w:r>
    </w:p>
    <w:p w14:paraId="3A79CFC7" w14:textId="18C40316" w:rsidR="00FE4B7E" w:rsidRPr="00DD5FEC" w:rsidRDefault="00FE4B7E" w:rsidP="000554A5">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Defining roles and responsibilities of BDS help-desk staff </w:t>
      </w:r>
    </w:p>
    <w:p w14:paraId="3DC2FDDC" w14:textId="45BE8ED1" w:rsidR="000554A5" w:rsidRPr="00DD5FEC" w:rsidRDefault="000554A5" w:rsidP="000554A5">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Expanded scope of providing information and assistance in support to </w:t>
      </w:r>
      <w:r w:rsidR="00917BE0" w:rsidRPr="00DD5FEC">
        <w:rPr>
          <w:rFonts w:ascii="Times New Roman" w:eastAsiaTheme="minorHAnsi" w:hAnsi="Times New Roman"/>
          <w:sz w:val="22"/>
          <w:szCs w:val="22"/>
          <w:lang w:eastAsia="en-US"/>
        </w:rPr>
        <w:t>M</w:t>
      </w:r>
      <w:r w:rsidRPr="00DD5FEC">
        <w:rPr>
          <w:rFonts w:ascii="Times New Roman" w:eastAsiaTheme="minorHAnsi" w:hAnsi="Times New Roman"/>
          <w:sz w:val="22"/>
          <w:szCs w:val="22"/>
          <w:lang w:eastAsia="en-US"/>
        </w:rPr>
        <w:t>SMEs</w:t>
      </w:r>
    </w:p>
    <w:p w14:paraId="3A3F159A" w14:textId="15C3C177" w:rsidR="000554A5" w:rsidRPr="00DD5FEC" w:rsidRDefault="000554A5" w:rsidP="000554A5">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Study visit </w:t>
      </w:r>
      <w:r w:rsidR="00917BE0" w:rsidRPr="00DD5FEC">
        <w:rPr>
          <w:rFonts w:ascii="Times New Roman" w:eastAsiaTheme="minorHAnsi" w:hAnsi="Times New Roman"/>
          <w:sz w:val="22"/>
          <w:szCs w:val="22"/>
          <w:lang w:eastAsia="en-US"/>
        </w:rPr>
        <w:t xml:space="preserve">of BDS staff </w:t>
      </w:r>
      <w:r w:rsidRPr="00DD5FEC">
        <w:rPr>
          <w:rFonts w:ascii="Times New Roman" w:eastAsiaTheme="minorHAnsi" w:hAnsi="Times New Roman"/>
          <w:sz w:val="22"/>
          <w:szCs w:val="22"/>
          <w:lang w:eastAsia="en-US"/>
        </w:rPr>
        <w:t>to similar service provider in the region or EU country</w:t>
      </w:r>
    </w:p>
    <w:p w14:paraId="171541C4" w14:textId="3696DD00" w:rsidR="00C81809" w:rsidRPr="00DD5FEC" w:rsidRDefault="00C81809" w:rsidP="00C81809">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Training Need Analysis (TNA) for BDS</w:t>
      </w:r>
      <w:r w:rsidR="00FE4B7E" w:rsidRPr="00DD5FEC">
        <w:rPr>
          <w:rFonts w:ascii="Times New Roman" w:eastAsiaTheme="minorHAnsi" w:hAnsi="Times New Roman"/>
          <w:sz w:val="22"/>
          <w:szCs w:val="22"/>
          <w:lang w:eastAsia="en-US"/>
        </w:rPr>
        <w:t xml:space="preserve">, including </w:t>
      </w:r>
      <w:r w:rsidRPr="00DD5FEC">
        <w:rPr>
          <w:rFonts w:ascii="Times New Roman" w:eastAsiaTheme="minorHAnsi" w:hAnsi="Times New Roman"/>
          <w:sz w:val="22"/>
          <w:szCs w:val="22"/>
          <w:lang w:eastAsia="en-US"/>
        </w:rPr>
        <w:t>LSGUs staff</w:t>
      </w:r>
    </w:p>
    <w:p w14:paraId="2588A963" w14:textId="27695DA3" w:rsidR="00C81809" w:rsidRPr="00DD5FEC" w:rsidRDefault="00C81809" w:rsidP="00C81809">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Developing tailor made training programmes</w:t>
      </w:r>
    </w:p>
    <w:p w14:paraId="06D702C0" w14:textId="11335C8C" w:rsidR="00C81809" w:rsidRPr="00DD5FEC" w:rsidRDefault="00C81809" w:rsidP="00C81809">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Capacity building of</w:t>
      </w:r>
      <w:r w:rsidRPr="00DD5FEC">
        <w:rPr>
          <w:rFonts w:ascii="Times New Roman" w:eastAsiaTheme="minorHAnsi" w:hAnsi="Times New Roman"/>
          <w:color w:val="FF0000"/>
          <w:sz w:val="22"/>
          <w:szCs w:val="22"/>
          <w:lang w:eastAsia="en-US"/>
        </w:rPr>
        <w:t xml:space="preserve"> </w:t>
      </w:r>
      <w:bookmarkStart w:id="20" w:name="_Hlk116470162"/>
      <w:r w:rsidRPr="00DD5FEC">
        <w:rPr>
          <w:rFonts w:ascii="Times New Roman" w:eastAsiaTheme="minorHAnsi" w:hAnsi="Times New Roman"/>
          <w:sz w:val="22"/>
          <w:szCs w:val="22"/>
          <w:lang w:eastAsia="en-US"/>
        </w:rPr>
        <w:t>BDS</w:t>
      </w:r>
      <w:r w:rsidR="00FE4B7E" w:rsidRPr="00DD5FEC">
        <w:rPr>
          <w:rFonts w:ascii="Times New Roman" w:eastAsiaTheme="minorHAnsi" w:hAnsi="Times New Roman"/>
          <w:sz w:val="22"/>
          <w:szCs w:val="22"/>
          <w:lang w:eastAsia="en-US"/>
        </w:rPr>
        <w:t xml:space="preserve">, </w:t>
      </w:r>
      <w:r w:rsidRPr="00DD5FEC">
        <w:rPr>
          <w:rFonts w:ascii="Times New Roman" w:eastAsiaTheme="minorHAnsi" w:hAnsi="Times New Roman"/>
          <w:sz w:val="22"/>
          <w:szCs w:val="22"/>
          <w:lang w:eastAsia="en-US"/>
        </w:rPr>
        <w:t xml:space="preserve">LSGUs staff and other relevant </w:t>
      </w:r>
      <w:r w:rsidR="00066D6E" w:rsidRPr="00DD5FEC">
        <w:rPr>
          <w:rFonts w:ascii="Times New Roman" w:eastAsiaTheme="minorHAnsi" w:hAnsi="Times New Roman"/>
          <w:sz w:val="22"/>
          <w:szCs w:val="22"/>
          <w:lang w:eastAsia="en-US"/>
        </w:rPr>
        <w:t>actors</w:t>
      </w:r>
      <w:bookmarkEnd w:id="20"/>
    </w:p>
    <w:p w14:paraId="3933E3F6" w14:textId="77777777" w:rsidR="00FE4B7E" w:rsidRPr="00DD5FEC" w:rsidRDefault="00FE4B7E" w:rsidP="00FE4B7E">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Developing system for analysing MSME skills and training needs</w:t>
      </w:r>
    </w:p>
    <w:p w14:paraId="447751D0" w14:textId="7F47C91B" w:rsidR="000554A5" w:rsidRPr="00DD5FEC" w:rsidRDefault="000554A5" w:rsidP="000554A5">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Advisory and training, help with business plan, loan application, marketing, international trade </w:t>
      </w:r>
    </w:p>
    <w:p w14:paraId="308A7B18" w14:textId="52D57735" w:rsidR="000554A5" w:rsidRPr="00DD5FEC" w:rsidRDefault="000554A5" w:rsidP="000554A5">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Mentoring and coaching, opportunity for a firm to learn by doing from a successful firm</w:t>
      </w:r>
    </w:p>
    <w:p w14:paraId="4BA11C16" w14:textId="4F22A73B" w:rsidR="000554A5" w:rsidRPr="00DD5FEC" w:rsidRDefault="000554A5" w:rsidP="000554A5">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Advisory services in B</w:t>
      </w:r>
      <w:r w:rsidR="00A768F9" w:rsidRPr="00DD5FEC">
        <w:rPr>
          <w:rFonts w:ascii="Times New Roman" w:eastAsiaTheme="minorHAnsi" w:hAnsi="Times New Roman"/>
          <w:sz w:val="22"/>
          <w:szCs w:val="22"/>
          <w:lang w:eastAsia="en-US"/>
        </w:rPr>
        <w:t>D</w:t>
      </w:r>
      <w:r w:rsidRPr="00DD5FEC">
        <w:rPr>
          <w:rFonts w:ascii="Times New Roman" w:eastAsiaTheme="minorHAnsi" w:hAnsi="Times New Roman"/>
          <w:sz w:val="22"/>
          <w:szCs w:val="22"/>
          <w:lang w:eastAsia="en-US"/>
        </w:rPr>
        <w:t>S to provide permanent support for all SMEs in the area of Intellectual Property Rights (IPR)</w:t>
      </w:r>
    </w:p>
    <w:p w14:paraId="7F76670F" w14:textId="77777777" w:rsidR="004F0DF4" w:rsidRPr="00DD5FEC" w:rsidRDefault="004F0DF4" w:rsidP="004F0DF4">
      <w:pPr>
        <w:spacing w:after="160" w:line="259" w:lineRule="auto"/>
        <w:ind w:left="720"/>
        <w:contextualSpacing/>
        <w:jc w:val="left"/>
        <w:rPr>
          <w:rFonts w:ascii="Times New Roman" w:eastAsiaTheme="minorHAnsi" w:hAnsi="Times New Roman"/>
          <w:sz w:val="22"/>
          <w:szCs w:val="22"/>
          <w:lang w:eastAsia="en-US"/>
        </w:rPr>
      </w:pPr>
    </w:p>
    <w:p w14:paraId="6D5EBD00" w14:textId="755D5488" w:rsidR="00597EA2" w:rsidRPr="00DD5FEC" w:rsidRDefault="000554A5" w:rsidP="007D7A0D">
      <w:pPr>
        <w:numPr>
          <w:ilvl w:val="1"/>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Mechanism for coordination, monitoring and evaluation of services for SMEs improved</w:t>
      </w:r>
    </w:p>
    <w:p w14:paraId="66858CA7" w14:textId="37B992C5" w:rsidR="00597EA2" w:rsidRPr="00DD5FEC" w:rsidRDefault="00E36A7B"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Conducting</w:t>
      </w:r>
      <w:r w:rsidR="00D92067" w:rsidRPr="00DD5FEC">
        <w:rPr>
          <w:rFonts w:ascii="Times New Roman" w:eastAsiaTheme="minorHAnsi" w:hAnsi="Times New Roman"/>
          <w:sz w:val="22"/>
          <w:szCs w:val="22"/>
          <w:lang w:eastAsia="en-US"/>
        </w:rPr>
        <w:t xml:space="preserve"> impact assessment of </w:t>
      </w:r>
      <w:r w:rsidRPr="00DD5FEC">
        <w:rPr>
          <w:rFonts w:ascii="Times New Roman" w:eastAsiaTheme="minorHAnsi" w:hAnsi="Times New Roman"/>
          <w:sz w:val="22"/>
          <w:szCs w:val="22"/>
          <w:lang w:eastAsia="en-US"/>
        </w:rPr>
        <w:t>two IPA</w:t>
      </w:r>
      <w:r w:rsidR="00D92067" w:rsidRPr="00DD5FEC">
        <w:rPr>
          <w:rFonts w:ascii="Times New Roman" w:eastAsiaTheme="minorHAnsi" w:hAnsi="Times New Roman"/>
          <w:sz w:val="22"/>
          <w:szCs w:val="22"/>
          <w:lang w:eastAsia="en-US"/>
        </w:rPr>
        <w:t xml:space="preserve"> </w:t>
      </w:r>
      <w:r w:rsidRPr="00DD5FEC">
        <w:rPr>
          <w:rFonts w:ascii="Times New Roman" w:eastAsiaTheme="minorHAnsi" w:hAnsi="Times New Roman"/>
          <w:sz w:val="22"/>
          <w:szCs w:val="22"/>
          <w:lang w:eastAsia="en-US"/>
        </w:rPr>
        <w:t xml:space="preserve">2020 </w:t>
      </w:r>
      <w:r w:rsidR="00D92067" w:rsidRPr="00DD5FEC">
        <w:rPr>
          <w:rFonts w:ascii="Times New Roman" w:eastAsiaTheme="minorHAnsi" w:hAnsi="Times New Roman"/>
          <w:sz w:val="22"/>
          <w:szCs w:val="22"/>
          <w:lang w:eastAsia="en-US"/>
        </w:rPr>
        <w:t>grant scheme</w:t>
      </w:r>
      <w:r w:rsidRPr="00DD5FEC">
        <w:rPr>
          <w:rFonts w:ascii="Times New Roman" w:eastAsiaTheme="minorHAnsi" w:hAnsi="Times New Roman"/>
          <w:sz w:val="22"/>
          <w:szCs w:val="22"/>
          <w:lang w:eastAsia="en-US"/>
        </w:rPr>
        <w:t>s</w:t>
      </w:r>
      <w:r w:rsidRPr="001310DE">
        <w:rPr>
          <w:rStyle w:val="FootnoteReference"/>
          <w:rFonts w:ascii="Times New Roman" w:eastAsiaTheme="minorHAnsi" w:hAnsi="Times New Roman"/>
          <w:sz w:val="18"/>
          <w:szCs w:val="22"/>
          <w:lang w:eastAsia="en-US"/>
        </w:rPr>
        <w:footnoteReference w:id="9"/>
      </w:r>
      <w:r w:rsidRPr="00DD5FEC">
        <w:rPr>
          <w:rFonts w:ascii="Times New Roman" w:eastAsiaTheme="minorHAnsi" w:hAnsi="Times New Roman"/>
          <w:sz w:val="22"/>
          <w:szCs w:val="22"/>
          <w:lang w:eastAsia="en-US"/>
        </w:rPr>
        <w:t xml:space="preserve"> on SMEs  </w:t>
      </w:r>
    </w:p>
    <w:p w14:paraId="2C71D2FD" w14:textId="271B19CD" w:rsidR="00597EA2" w:rsidRPr="00DD5FEC" w:rsidRDefault="00A5666A"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Providing r</w:t>
      </w:r>
      <w:r w:rsidR="00597EA2" w:rsidRPr="00DD5FEC">
        <w:rPr>
          <w:rFonts w:ascii="Times New Roman" w:eastAsiaTheme="minorHAnsi" w:hAnsi="Times New Roman"/>
          <w:sz w:val="22"/>
          <w:szCs w:val="22"/>
          <w:lang w:eastAsia="en-US"/>
        </w:rPr>
        <w:t>ecommendations for efficient coordination with local self-government units (LSGUs)</w:t>
      </w:r>
      <w:r w:rsidR="00D92067" w:rsidRPr="00DD5FEC">
        <w:rPr>
          <w:rFonts w:ascii="Times New Roman" w:eastAsiaTheme="minorHAnsi" w:hAnsi="Times New Roman"/>
          <w:sz w:val="22"/>
          <w:szCs w:val="22"/>
          <w:lang w:eastAsia="en-US"/>
        </w:rPr>
        <w:t xml:space="preserve"> in the area of business development services </w:t>
      </w:r>
    </w:p>
    <w:p w14:paraId="0A667B52" w14:textId="77777777" w:rsidR="00597EA2" w:rsidRPr="00DD5FEC" w:rsidRDefault="00597EA2" w:rsidP="007D7A0D">
      <w:pPr>
        <w:numPr>
          <w:ilvl w:val="1"/>
          <w:numId w:val="27"/>
        </w:numPr>
        <w:spacing w:after="160" w:line="259" w:lineRule="auto"/>
        <w:contextualSpacing/>
        <w:jc w:val="left"/>
        <w:rPr>
          <w:rFonts w:ascii="Times New Roman" w:eastAsiaTheme="minorHAnsi" w:hAnsi="Times New Roman"/>
          <w:sz w:val="22"/>
          <w:szCs w:val="22"/>
          <w:lang w:eastAsia="en-US"/>
        </w:rPr>
      </w:pPr>
      <w:bookmarkStart w:id="21" w:name="_Hlk106697755"/>
      <w:r w:rsidRPr="00DD5FEC">
        <w:rPr>
          <w:rFonts w:ascii="Times New Roman" w:eastAsiaTheme="minorHAnsi" w:hAnsi="Times New Roman"/>
          <w:sz w:val="22"/>
          <w:szCs w:val="22"/>
          <w:lang w:eastAsia="en-US"/>
        </w:rPr>
        <w:t>Single Access Point biznis.gov.me</w:t>
      </w:r>
      <w:r w:rsidRPr="001310DE">
        <w:rPr>
          <w:rFonts w:ascii="Times New Roman" w:eastAsiaTheme="minorHAnsi" w:hAnsi="Times New Roman"/>
          <w:position w:val="6"/>
          <w:sz w:val="18"/>
          <w:szCs w:val="22"/>
          <w:lang w:eastAsia="en-US"/>
        </w:rPr>
        <w:footnoteReference w:id="10"/>
      </w:r>
      <w:r w:rsidRPr="00DD5FEC">
        <w:rPr>
          <w:rFonts w:ascii="Times New Roman" w:eastAsiaTheme="minorHAnsi" w:hAnsi="Times New Roman"/>
          <w:sz w:val="22"/>
          <w:szCs w:val="22"/>
          <w:lang w:eastAsia="en-US"/>
        </w:rPr>
        <w:t>upgraded</w:t>
      </w:r>
    </w:p>
    <w:bookmarkEnd w:id="21"/>
    <w:p w14:paraId="49789904" w14:textId="77777777" w:rsidR="008A1FC8" w:rsidRPr="00DD5FEC" w:rsidRDefault="00917BE0"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Providing re</w:t>
      </w:r>
      <w:r w:rsidR="00B67A87" w:rsidRPr="00DD5FEC">
        <w:rPr>
          <w:rFonts w:ascii="Times New Roman" w:eastAsiaTheme="minorHAnsi" w:hAnsi="Times New Roman"/>
          <w:sz w:val="22"/>
          <w:szCs w:val="22"/>
          <w:lang w:eastAsia="en-US"/>
        </w:rPr>
        <w:t>commendations for enhancing visibility and communication with business community</w:t>
      </w:r>
    </w:p>
    <w:p w14:paraId="00B23D9F" w14:textId="18DD9DAF" w:rsidR="00742FF7" w:rsidRPr="00DD5FEC" w:rsidRDefault="00A768F9"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Upgrad</w:t>
      </w:r>
      <w:r w:rsidR="00B67A87" w:rsidRPr="00DD5FEC">
        <w:rPr>
          <w:rFonts w:ascii="Times New Roman" w:eastAsiaTheme="minorHAnsi" w:hAnsi="Times New Roman"/>
          <w:sz w:val="22"/>
          <w:szCs w:val="22"/>
          <w:lang w:eastAsia="en-US"/>
        </w:rPr>
        <w:t>ing</w:t>
      </w:r>
      <w:r w:rsidRPr="00DD5FEC">
        <w:rPr>
          <w:rFonts w:ascii="Times New Roman" w:eastAsiaTheme="minorHAnsi" w:hAnsi="Times New Roman"/>
          <w:sz w:val="22"/>
          <w:szCs w:val="22"/>
          <w:lang w:eastAsia="en-US"/>
        </w:rPr>
        <w:t xml:space="preserve"> portal features with new types of services</w:t>
      </w:r>
      <w:r w:rsidR="00FD204A" w:rsidRPr="00DD5FEC">
        <w:rPr>
          <w:rFonts w:ascii="Times New Roman" w:eastAsiaTheme="minorHAnsi" w:hAnsi="Times New Roman"/>
          <w:sz w:val="22"/>
          <w:szCs w:val="22"/>
          <w:lang w:eastAsia="en-US"/>
        </w:rPr>
        <w:t xml:space="preserve"> for </w:t>
      </w:r>
      <w:r w:rsidR="00917BE0" w:rsidRPr="00DD5FEC">
        <w:rPr>
          <w:rFonts w:ascii="Times New Roman" w:eastAsiaTheme="minorHAnsi" w:hAnsi="Times New Roman"/>
          <w:sz w:val="22"/>
          <w:szCs w:val="22"/>
          <w:lang w:eastAsia="en-US"/>
        </w:rPr>
        <w:t>M</w:t>
      </w:r>
      <w:r w:rsidR="00FD204A" w:rsidRPr="00DD5FEC">
        <w:rPr>
          <w:rFonts w:ascii="Times New Roman" w:eastAsiaTheme="minorHAnsi" w:hAnsi="Times New Roman"/>
          <w:sz w:val="22"/>
          <w:szCs w:val="22"/>
          <w:lang w:eastAsia="en-US"/>
        </w:rPr>
        <w:t>SMEs</w:t>
      </w:r>
    </w:p>
    <w:p w14:paraId="08F703CE" w14:textId="182EA96F" w:rsidR="008A1FC8" w:rsidRPr="00DD5FEC" w:rsidRDefault="008A1FC8"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Integrating BSD help-desk services with biznis.gov.me</w:t>
      </w:r>
    </w:p>
    <w:p w14:paraId="2C632149" w14:textId="68DBFCA3" w:rsidR="00574438" w:rsidRPr="00DD5FEC" w:rsidRDefault="00066D6E"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Training for BDS, LSGUs staff and other relevant actors on content creating and administration of portal</w:t>
      </w:r>
    </w:p>
    <w:p w14:paraId="43AD7F77" w14:textId="49C742A8" w:rsidR="00597EA2" w:rsidRPr="00DD5FEC" w:rsidRDefault="00597EA2" w:rsidP="007D7A0D">
      <w:pPr>
        <w:numPr>
          <w:ilvl w:val="2"/>
          <w:numId w:val="27"/>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lastRenderedPageBreak/>
        <w:t>Rais</w:t>
      </w:r>
      <w:r w:rsidR="00B67A87" w:rsidRPr="00DD5FEC">
        <w:rPr>
          <w:rFonts w:ascii="Times New Roman" w:eastAsiaTheme="minorHAnsi" w:hAnsi="Times New Roman"/>
          <w:sz w:val="22"/>
          <w:szCs w:val="22"/>
          <w:lang w:eastAsia="en-US"/>
        </w:rPr>
        <w:t xml:space="preserve">ing </w:t>
      </w:r>
      <w:r w:rsidRPr="00DD5FEC">
        <w:rPr>
          <w:rFonts w:ascii="Times New Roman" w:eastAsiaTheme="minorHAnsi" w:hAnsi="Times New Roman"/>
          <w:sz w:val="22"/>
          <w:szCs w:val="22"/>
          <w:lang w:eastAsia="en-US"/>
        </w:rPr>
        <w:t>awareness o</w:t>
      </w:r>
      <w:r w:rsidR="00B67A87" w:rsidRPr="00DD5FEC">
        <w:rPr>
          <w:rFonts w:ascii="Times New Roman" w:eastAsiaTheme="minorHAnsi" w:hAnsi="Times New Roman"/>
          <w:sz w:val="22"/>
          <w:szCs w:val="22"/>
          <w:lang w:eastAsia="en-US"/>
        </w:rPr>
        <w:t>n</w:t>
      </w:r>
      <w:r w:rsidRPr="00DD5FEC">
        <w:rPr>
          <w:rFonts w:ascii="Times New Roman" w:eastAsiaTheme="minorHAnsi" w:hAnsi="Times New Roman"/>
          <w:sz w:val="22"/>
          <w:szCs w:val="22"/>
          <w:lang w:eastAsia="en-US"/>
        </w:rPr>
        <w:t xml:space="preserve"> the benefits of SAP with the focus on EU support for SMEs</w:t>
      </w:r>
    </w:p>
    <w:p w14:paraId="383CA70A" w14:textId="77777777" w:rsidR="0005448B" w:rsidRPr="00DD5FEC" w:rsidRDefault="0005448B" w:rsidP="00597EA2">
      <w:pPr>
        <w:spacing w:after="160" w:line="259" w:lineRule="auto"/>
        <w:jc w:val="left"/>
        <w:rPr>
          <w:rFonts w:ascii="Times New Roman" w:eastAsiaTheme="minorHAnsi" w:hAnsi="Times New Roman"/>
          <w:sz w:val="22"/>
          <w:szCs w:val="22"/>
          <w:u w:val="single"/>
          <w:lang w:eastAsia="en-US"/>
        </w:rPr>
      </w:pPr>
    </w:p>
    <w:p w14:paraId="71FFDE21" w14:textId="1E112D29" w:rsidR="00597EA2" w:rsidRPr="00DD5FEC" w:rsidRDefault="00597EA2" w:rsidP="00597EA2">
      <w:pPr>
        <w:spacing w:after="160" w:line="259" w:lineRule="auto"/>
        <w:jc w:val="left"/>
        <w:rPr>
          <w:rFonts w:ascii="Times New Roman" w:eastAsiaTheme="minorHAnsi" w:hAnsi="Times New Roman"/>
          <w:sz w:val="22"/>
          <w:szCs w:val="22"/>
          <w:u w:val="single"/>
          <w:lang w:eastAsia="en-US"/>
        </w:rPr>
      </w:pPr>
      <w:r w:rsidRPr="00DD5FEC">
        <w:rPr>
          <w:rFonts w:ascii="Times New Roman" w:eastAsiaTheme="minorHAnsi" w:hAnsi="Times New Roman"/>
          <w:sz w:val="22"/>
          <w:szCs w:val="22"/>
          <w:u w:val="single"/>
          <w:lang w:eastAsia="en-US"/>
        </w:rPr>
        <w:t xml:space="preserve">Outcome 2: Ensuring efficient absorption of EU financing programmes for </w:t>
      </w:r>
      <w:r w:rsidR="00917BE0" w:rsidRPr="00DD5FEC">
        <w:rPr>
          <w:rFonts w:ascii="Times New Roman" w:eastAsiaTheme="minorHAnsi" w:hAnsi="Times New Roman"/>
          <w:sz w:val="22"/>
          <w:szCs w:val="22"/>
          <w:u w:val="single"/>
          <w:lang w:eastAsia="en-US"/>
        </w:rPr>
        <w:t>M</w:t>
      </w:r>
      <w:r w:rsidRPr="00DD5FEC">
        <w:rPr>
          <w:rFonts w:ascii="Times New Roman" w:eastAsiaTheme="minorHAnsi" w:hAnsi="Times New Roman"/>
          <w:sz w:val="22"/>
          <w:szCs w:val="22"/>
          <w:u w:val="single"/>
          <w:lang w:eastAsia="en-US"/>
        </w:rPr>
        <w:t xml:space="preserve">SMEs </w:t>
      </w:r>
    </w:p>
    <w:p w14:paraId="7FF99963" w14:textId="7B9FC2A4" w:rsidR="00597EA2" w:rsidRPr="00DD5FEC" w:rsidRDefault="00597EA2" w:rsidP="007D7A0D">
      <w:pPr>
        <w:numPr>
          <w:ilvl w:val="1"/>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Supporting MEDT and other beneficiary institutions in programming, implementation, monitoring and evaluation of </w:t>
      </w:r>
      <w:r w:rsidR="004F6ABE" w:rsidRPr="00DD5FEC">
        <w:rPr>
          <w:rFonts w:ascii="Times New Roman" w:eastAsiaTheme="minorHAnsi" w:hAnsi="Times New Roman"/>
          <w:sz w:val="22"/>
          <w:szCs w:val="22"/>
          <w:lang w:eastAsia="en-US"/>
        </w:rPr>
        <w:t>EU funded</w:t>
      </w:r>
      <w:r w:rsidRPr="00DD5FEC">
        <w:rPr>
          <w:rFonts w:ascii="Times New Roman" w:eastAsiaTheme="minorHAnsi" w:hAnsi="Times New Roman"/>
          <w:sz w:val="22"/>
          <w:szCs w:val="22"/>
          <w:lang w:eastAsia="en-US"/>
        </w:rPr>
        <w:t xml:space="preserve"> projects</w:t>
      </w:r>
    </w:p>
    <w:p w14:paraId="257E5F7B" w14:textId="00FFA95D" w:rsidR="00597EA2" w:rsidRPr="00DD5FEC" w:rsidRDefault="00597EA2"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Providing technical assistance to the PIUs MEDT and beneficiar</w:t>
      </w:r>
      <w:r w:rsidR="004F6ABE" w:rsidRPr="00DD5FEC">
        <w:rPr>
          <w:rFonts w:ascii="Times New Roman" w:eastAsiaTheme="minorHAnsi" w:hAnsi="Times New Roman"/>
          <w:sz w:val="22"/>
          <w:szCs w:val="22"/>
          <w:lang w:eastAsia="en-US"/>
        </w:rPr>
        <w:t xml:space="preserve">y </w:t>
      </w:r>
      <w:r w:rsidRPr="00DD5FEC">
        <w:rPr>
          <w:rFonts w:ascii="Times New Roman" w:eastAsiaTheme="minorHAnsi" w:hAnsi="Times New Roman"/>
          <w:sz w:val="22"/>
          <w:szCs w:val="22"/>
          <w:lang w:eastAsia="en-US"/>
        </w:rPr>
        <w:t>institutions in the preparation of tender documents</w:t>
      </w:r>
      <w:r w:rsidR="00053705" w:rsidRPr="00DD5FEC">
        <w:rPr>
          <w:rFonts w:ascii="Times New Roman" w:eastAsiaTheme="minorHAnsi" w:hAnsi="Times New Roman"/>
          <w:sz w:val="22"/>
          <w:szCs w:val="22"/>
          <w:lang w:eastAsia="en-US"/>
        </w:rPr>
        <w:t xml:space="preserve"> for IPA III</w:t>
      </w:r>
    </w:p>
    <w:p w14:paraId="7C21B68A" w14:textId="1BCD0132" w:rsidR="00597EA2" w:rsidRPr="00DD5FEC" w:rsidRDefault="005A704C"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Training and mentoring support in implementation and reporting of EU funded </w:t>
      </w:r>
      <w:r w:rsidR="004F6ABE" w:rsidRPr="00DD5FEC">
        <w:rPr>
          <w:rFonts w:ascii="Times New Roman" w:eastAsiaTheme="minorHAnsi" w:hAnsi="Times New Roman"/>
          <w:sz w:val="22"/>
          <w:szCs w:val="22"/>
          <w:lang w:eastAsia="en-US"/>
        </w:rPr>
        <w:t>programmes/</w:t>
      </w:r>
      <w:r w:rsidRPr="00DD5FEC">
        <w:rPr>
          <w:rFonts w:ascii="Times New Roman" w:eastAsiaTheme="minorHAnsi" w:hAnsi="Times New Roman"/>
          <w:sz w:val="22"/>
          <w:szCs w:val="22"/>
          <w:lang w:eastAsia="en-US"/>
        </w:rPr>
        <w:t>projects</w:t>
      </w:r>
      <w:r w:rsidR="004F6ABE" w:rsidRPr="00DD5FEC">
        <w:rPr>
          <w:rFonts w:ascii="Times New Roman" w:eastAsiaTheme="minorHAnsi" w:hAnsi="Times New Roman"/>
          <w:sz w:val="22"/>
          <w:szCs w:val="22"/>
          <w:lang w:eastAsia="en-US"/>
        </w:rPr>
        <w:t xml:space="preserve"> (Interreg CBC programme</w:t>
      </w:r>
      <w:r w:rsidR="00917BE0" w:rsidRPr="00DD5FEC">
        <w:rPr>
          <w:rFonts w:ascii="Times New Roman" w:eastAsiaTheme="minorHAnsi" w:hAnsi="Times New Roman"/>
          <w:sz w:val="22"/>
          <w:szCs w:val="22"/>
          <w:lang w:eastAsia="en-US"/>
        </w:rPr>
        <w:t>, for instance</w:t>
      </w:r>
      <w:r w:rsidR="004F6ABE" w:rsidRPr="00DD5FEC">
        <w:rPr>
          <w:rFonts w:ascii="Times New Roman" w:eastAsiaTheme="minorHAnsi" w:hAnsi="Times New Roman"/>
          <w:sz w:val="22"/>
          <w:szCs w:val="22"/>
          <w:lang w:eastAsia="en-US"/>
        </w:rPr>
        <w:t>)</w:t>
      </w:r>
    </w:p>
    <w:p w14:paraId="3464C990" w14:textId="007599C6" w:rsidR="00597EA2" w:rsidRPr="00DD5FEC" w:rsidRDefault="005A704C"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Providing mentoring support for PIU MEDT for</w:t>
      </w:r>
      <w:r w:rsidR="00597EA2" w:rsidRPr="00DD5FEC">
        <w:rPr>
          <w:rFonts w:ascii="Times New Roman" w:eastAsiaTheme="minorHAnsi" w:hAnsi="Times New Roman"/>
          <w:sz w:val="22"/>
          <w:szCs w:val="22"/>
          <w:lang w:eastAsia="en-US"/>
        </w:rPr>
        <w:t xml:space="preserve"> monitoring and evaluation</w:t>
      </w:r>
      <w:r w:rsidRPr="00DD5FEC">
        <w:rPr>
          <w:rFonts w:ascii="Times New Roman" w:eastAsiaTheme="minorHAnsi" w:hAnsi="Times New Roman"/>
          <w:sz w:val="22"/>
          <w:szCs w:val="22"/>
          <w:lang w:eastAsia="en-US"/>
        </w:rPr>
        <w:t xml:space="preserve"> of grant</w:t>
      </w:r>
      <w:r w:rsidR="004F6ABE" w:rsidRPr="00DD5FEC">
        <w:rPr>
          <w:rFonts w:ascii="Times New Roman" w:eastAsiaTheme="minorHAnsi" w:hAnsi="Times New Roman"/>
          <w:sz w:val="22"/>
          <w:szCs w:val="22"/>
          <w:lang w:eastAsia="en-US"/>
        </w:rPr>
        <w:t>s</w:t>
      </w:r>
    </w:p>
    <w:p w14:paraId="3A98F874" w14:textId="63898EF3" w:rsidR="004F6ABE" w:rsidRPr="00DD5FEC" w:rsidRDefault="0068228D"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Capacity building of IPA III Working group </w:t>
      </w:r>
      <w:r w:rsidR="0042159B" w:rsidRPr="00DD5FEC">
        <w:rPr>
          <w:rFonts w:ascii="Times New Roman" w:eastAsiaTheme="minorHAnsi" w:hAnsi="Times New Roman"/>
          <w:sz w:val="22"/>
          <w:szCs w:val="22"/>
          <w:lang w:eastAsia="en-US"/>
        </w:rPr>
        <w:t>on</w:t>
      </w:r>
      <w:r w:rsidRPr="00DD5FEC">
        <w:rPr>
          <w:rFonts w:ascii="Times New Roman" w:eastAsiaTheme="minorHAnsi" w:hAnsi="Times New Roman"/>
          <w:sz w:val="22"/>
          <w:szCs w:val="22"/>
          <w:lang w:eastAsia="en-US"/>
        </w:rPr>
        <w:t xml:space="preserve"> ESIF</w:t>
      </w:r>
      <w:r w:rsidR="00282101" w:rsidRPr="00DD5FEC">
        <w:rPr>
          <w:rStyle w:val="FootnoteReference"/>
          <w:rFonts w:ascii="Times New Roman" w:eastAsiaTheme="minorHAnsi" w:hAnsi="Times New Roman"/>
          <w:sz w:val="22"/>
          <w:szCs w:val="22"/>
          <w:lang w:eastAsia="en-US"/>
        </w:rPr>
        <w:footnoteReference w:id="11"/>
      </w:r>
      <w:r w:rsidRPr="00DD5FEC">
        <w:rPr>
          <w:rFonts w:ascii="Times New Roman" w:eastAsiaTheme="minorHAnsi" w:hAnsi="Times New Roman"/>
          <w:sz w:val="22"/>
          <w:szCs w:val="22"/>
          <w:lang w:eastAsia="en-US"/>
        </w:rPr>
        <w:t xml:space="preserve"> governance system</w:t>
      </w:r>
    </w:p>
    <w:p w14:paraId="199575DA" w14:textId="380B89B0" w:rsidR="00597EA2" w:rsidRPr="00DD5FEC" w:rsidRDefault="00597EA2"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Organisation of study visit to similar project implementation unit in EU member state</w:t>
      </w:r>
    </w:p>
    <w:p w14:paraId="2DADE71A" w14:textId="77777777" w:rsidR="004F0DF4" w:rsidRPr="00DD5FEC" w:rsidRDefault="004F0DF4" w:rsidP="004F0DF4">
      <w:pPr>
        <w:spacing w:after="160" w:line="259" w:lineRule="auto"/>
        <w:ind w:left="720"/>
        <w:contextualSpacing/>
        <w:jc w:val="left"/>
        <w:rPr>
          <w:rFonts w:ascii="Times New Roman" w:eastAsiaTheme="minorHAnsi" w:hAnsi="Times New Roman"/>
          <w:sz w:val="22"/>
          <w:szCs w:val="22"/>
          <w:lang w:eastAsia="en-US"/>
        </w:rPr>
      </w:pPr>
    </w:p>
    <w:p w14:paraId="712FA58E" w14:textId="33C67F75" w:rsidR="00597EA2" w:rsidRPr="00DD5FEC" w:rsidRDefault="00597EA2" w:rsidP="007D7A0D">
      <w:pPr>
        <w:numPr>
          <w:ilvl w:val="1"/>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Building </w:t>
      </w:r>
      <w:r w:rsidR="005A619A" w:rsidRPr="00DD5FEC">
        <w:rPr>
          <w:rFonts w:ascii="Times New Roman" w:eastAsiaTheme="minorHAnsi" w:hAnsi="Times New Roman"/>
          <w:sz w:val="22"/>
          <w:szCs w:val="22"/>
          <w:lang w:eastAsia="en-US"/>
        </w:rPr>
        <w:t xml:space="preserve">MSMEs </w:t>
      </w:r>
      <w:r w:rsidRPr="00DD5FEC">
        <w:rPr>
          <w:rFonts w:ascii="Times New Roman" w:eastAsiaTheme="minorHAnsi" w:hAnsi="Times New Roman"/>
          <w:sz w:val="22"/>
          <w:szCs w:val="22"/>
          <w:lang w:eastAsia="en-US"/>
        </w:rPr>
        <w:t>capacities for planning and implementation of EU funded projects</w:t>
      </w:r>
    </w:p>
    <w:p w14:paraId="4BEF3AA9" w14:textId="71AC95A8" w:rsidR="00597EA2" w:rsidRPr="00DD5FEC" w:rsidRDefault="005A619A"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R</w:t>
      </w:r>
      <w:r w:rsidR="00597EA2" w:rsidRPr="00DD5FEC">
        <w:rPr>
          <w:rFonts w:ascii="Times New Roman" w:eastAsiaTheme="minorHAnsi" w:hAnsi="Times New Roman"/>
          <w:sz w:val="22"/>
          <w:szCs w:val="22"/>
          <w:lang w:eastAsia="en-US"/>
        </w:rPr>
        <w:t xml:space="preserve">aising awareness </w:t>
      </w:r>
      <w:r w:rsidRPr="00DD5FEC">
        <w:rPr>
          <w:rFonts w:ascii="Times New Roman" w:eastAsiaTheme="minorHAnsi" w:hAnsi="Times New Roman"/>
          <w:sz w:val="22"/>
          <w:szCs w:val="22"/>
          <w:lang w:eastAsia="en-US"/>
        </w:rPr>
        <w:t>on</w:t>
      </w:r>
      <w:r w:rsidR="00597EA2" w:rsidRPr="00DD5FEC">
        <w:rPr>
          <w:rFonts w:ascii="Times New Roman" w:eastAsiaTheme="minorHAnsi" w:hAnsi="Times New Roman"/>
          <w:sz w:val="22"/>
          <w:szCs w:val="22"/>
          <w:lang w:eastAsia="en-US"/>
        </w:rPr>
        <w:t xml:space="preserve"> usage of EU support mechanisms</w:t>
      </w:r>
      <w:r w:rsidRPr="00DD5FEC">
        <w:rPr>
          <w:rFonts w:ascii="Times New Roman" w:eastAsiaTheme="minorHAnsi" w:hAnsi="Times New Roman"/>
          <w:sz w:val="22"/>
          <w:szCs w:val="22"/>
          <w:lang w:eastAsia="en-US"/>
        </w:rPr>
        <w:t xml:space="preserve"> for MSMEs</w:t>
      </w:r>
    </w:p>
    <w:p w14:paraId="272B9CBE" w14:textId="13FE3904" w:rsidR="00597EA2" w:rsidRPr="00DD5FEC" w:rsidRDefault="00597EA2"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 xml:space="preserve">Preparing and delivering tailor-made trainings </w:t>
      </w:r>
      <w:r w:rsidR="004F6ABE" w:rsidRPr="00DD5FEC">
        <w:rPr>
          <w:rFonts w:ascii="Times New Roman" w:eastAsiaTheme="minorHAnsi" w:hAnsi="Times New Roman"/>
          <w:sz w:val="22"/>
          <w:szCs w:val="22"/>
          <w:lang w:eastAsia="en-US"/>
        </w:rPr>
        <w:t xml:space="preserve">for </w:t>
      </w:r>
      <w:r w:rsidR="00917BE0" w:rsidRPr="00DD5FEC">
        <w:rPr>
          <w:rFonts w:ascii="Times New Roman" w:eastAsiaTheme="minorHAnsi" w:hAnsi="Times New Roman"/>
          <w:sz w:val="22"/>
          <w:szCs w:val="22"/>
          <w:lang w:eastAsia="en-US"/>
        </w:rPr>
        <w:t>M</w:t>
      </w:r>
      <w:r w:rsidR="004F6ABE" w:rsidRPr="00DD5FEC">
        <w:rPr>
          <w:rFonts w:ascii="Times New Roman" w:eastAsiaTheme="minorHAnsi" w:hAnsi="Times New Roman"/>
          <w:sz w:val="22"/>
          <w:szCs w:val="22"/>
          <w:lang w:eastAsia="en-US"/>
        </w:rPr>
        <w:t xml:space="preserve">SMEs </w:t>
      </w:r>
      <w:r w:rsidRPr="00DD5FEC">
        <w:rPr>
          <w:rFonts w:ascii="Times New Roman" w:eastAsiaTheme="minorHAnsi" w:hAnsi="Times New Roman"/>
          <w:sz w:val="22"/>
          <w:szCs w:val="22"/>
          <w:lang w:eastAsia="en-US"/>
        </w:rPr>
        <w:t>for project cycle management and development of project proposals, with guidance on basic principles of project evaluation</w:t>
      </w:r>
    </w:p>
    <w:p w14:paraId="4F28FC9D" w14:textId="2F4C8B8B" w:rsidR="00597EA2" w:rsidRPr="00DD5FEC" w:rsidRDefault="00597EA2" w:rsidP="007D7A0D">
      <w:pPr>
        <w:numPr>
          <w:ilvl w:val="2"/>
          <w:numId w:val="28"/>
        </w:numPr>
        <w:spacing w:after="160" w:line="259" w:lineRule="auto"/>
        <w:contextualSpacing/>
        <w:jc w:val="left"/>
        <w:rPr>
          <w:rFonts w:ascii="Times New Roman" w:eastAsiaTheme="minorHAnsi" w:hAnsi="Times New Roman"/>
          <w:sz w:val="22"/>
          <w:szCs w:val="22"/>
          <w:lang w:eastAsia="en-US"/>
        </w:rPr>
      </w:pPr>
      <w:r w:rsidRPr="00DD5FEC">
        <w:rPr>
          <w:rFonts w:ascii="Times New Roman" w:eastAsiaTheme="minorHAnsi" w:hAnsi="Times New Roman"/>
          <w:sz w:val="22"/>
          <w:szCs w:val="22"/>
          <w:lang w:eastAsia="en-US"/>
        </w:rPr>
        <w:t>Provid</w:t>
      </w:r>
      <w:r w:rsidR="004F0DF4" w:rsidRPr="00DD5FEC">
        <w:rPr>
          <w:rFonts w:ascii="Times New Roman" w:eastAsiaTheme="minorHAnsi" w:hAnsi="Times New Roman"/>
          <w:sz w:val="22"/>
          <w:szCs w:val="22"/>
          <w:lang w:eastAsia="en-US"/>
        </w:rPr>
        <w:t>ing</w:t>
      </w:r>
      <w:r w:rsidRPr="00DD5FEC">
        <w:rPr>
          <w:rFonts w:ascii="Times New Roman" w:eastAsiaTheme="minorHAnsi" w:hAnsi="Times New Roman"/>
          <w:sz w:val="22"/>
          <w:szCs w:val="22"/>
          <w:lang w:eastAsia="en-US"/>
        </w:rPr>
        <w:t xml:space="preserve"> workshops for the </w:t>
      </w:r>
      <w:r w:rsidR="00917BE0" w:rsidRPr="00DD5FEC">
        <w:rPr>
          <w:rFonts w:ascii="Times New Roman" w:eastAsiaTheme="minorHAnsi" w:hAnsi="Times New Roman"/>
          <w:sz w:val="22"/>
          <w:szCs w:val="22"/>
          <w:lang w:eastAsia="en-US"/>
        </w:rPr>
        <w:t>M</w:t>
      </w:r>
      <w:r w:rsidRPr="00DD5FEC">
        <w:rPr>
          <w:rFonts w:ascii="Times New Roman" w:eastAsiaTheme="minorHAnsi" w:hAnsi="Times New Roman"/>
          <w:sz w:val="22"/>
          <w:szCs w:val="22"/>
          <w:lang w:eastAsia="en-US"/>
        </w:rPr>
        <w:t>SMEs on implementation of IPA projects including administrative procedures, reporting requirements, secondary procurement rules, monitoring requirements, financial management issues, etc.</w:t>
      </w:r>
    </w:p>
    <w:p w14:paraId="0B7437B6" w14:textId="77777777" w:rsidR="00BB1BED" w:rsidRPr="00DD5FEC" w:rsidRDefault="00BB1BED" w:rsidP="00150137">
      <w:pPr>
        <w:pStyle w:val="Heading2"/>
        <w:rPr>
          <w:sz w:val="22"/>
          <w:szCs w:val="22"/>
        </w:rPr>
      </w:pPr>
      <w:bookmarkStart w:id="22" w:name="_Ref530906824"/>
      <w:bookmarkStart w:id="23" w:name="_Toc438131778"/>
      <w:r w:rsidRPr="00DD5FEC">
        <w:rPr>
          <w:sz w:val="22"/>
          <w:szCs w:val="22"/>
        </w:rPr>
        <w:t>Project management</w:t>
      </w:r>
      <w:bookmarkEnd w:id="22"/>
      <w:bookmarkEnd w:id="23"/>
    </w:p>
    <w:p w14:paraId="0489F0B3" w14:textId="77777777" w:rsidR="00BB1BED" w:rsidRPr="00DD5FEC" w:rsidRDefault="00BB1BED" w:rsidP="006E2226">
      <w:pPr>
        <w:pStyle w:val="Heading3"/>
      </w:pPr>
      <w:r w:rsidRPr="00DD5FEC">
        <w:t>Responsible body</w:t>
      </w:r>
    </w:p>
    <w:p w14:paraId="059C0B54"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The EU Delegation to Montenegro shall be responsible for managing this contract.</w:t>
      </w:r>
    </w:p>
    <w:p w14:paraId="4ED44DE7" w14:textId="77777777" w:rsidR="00BB1BED" w:rsidRPr="00DD5FEC" w:rsidRDefault="00BB1BED" w:rsidP="006E2226">
      <w:pPr>
        <w:pStyle w:val="Heading3"/>
      </w:pPr>
      <w:r w:rsidRPr="00DD5FEC">
        <w:t>Management structure</w:t>
      </w:r>
    </w:p>
    <w:p w14:paraId="1638EE93"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 xml:space="preserve">The EU Delegation to Montenegro as a Contracting Authority will be supervising the implementation of the contract. A sector manager of the Operations Section will be the main contact point at the EU Delegation for all contract implementation related issues, including approval of non-key STEs and the use of the incidental expenditure costs as defined in article 6.5 of these Terms of reference. </w:t>
      </w:r>
    </w:p>
    <w:p w14:paraId="21252E68" w14:textId="71CB1B74" w:rsidR="007C3DDD" w:rsidRPr="00DD5FEC" w:rsidRDefault="007C3DDD" w:rsidP="007C3DDD">
      <w:pPr>
        <w:rPr>
          <w:rFonts w:ascii="Times New Roman" w:hAnsi="Times New Roman"/>
          <w:sz w:val="22"/>
          <w:szCs w:val="22"/>
        </w:rPr>
      </w:pPr>
      <w:r w:rsidRPr="00DD5FEC">
        <w:rPr>
          <w:rFonts w:ascii="Times New Roman" w:hAnsi="Times New Roman"/>
          <w:sz w:val="22"/>
          <w:szCs w:val="22"/>
        </w:rPr>
        <w:t xml:space="preserve">Implementation of the proposed project will be undertaken in close co-operation with the Ministry of Economic Development and Tourism, Chamber of Commerce, </w:t>
      </w:r>
      <w:r w:rsidR="00757545" w:rsidRPr="00DD5FEC">
        <w:rPr>
          <w:rFonts w:ascii="Times New Roman" w:hAnsi="Times New Roman"/>
          <w:sz w:val="22"/>
          <w:szCs w:val="22"/>
        </w:rPr>
        <w:t xml:space="preserve">local selfgovernment </w:t>
      </w:r>
      <w:r w:rsidRPr="00DD5FEC">
        <w:rPr>
          <w:rFonts w:ascii="Times New Roman" w:hAnsi="Times New Roman"/>
          <w:sz w:val="22"/>
          <w:szCs w:val="22"/>
        </w:rPr>
        <w:t>U</w:t>
      </w:r>
      <w:r w:rsidR="00757545" w:rsidRPr="00DD5FEC">
        <w:rPr>
          <w:rFonts w:ascii="Times New Roman" w:hAnsi="Times New Roman"/>
          <w:sz w:val="22"/>
          <w:szCs w:val="22"/>
        </w:rPr>
        <w:t>nit</w:t>
      </w:r>
      <w:r w:rsidRPr="00DD5FEC">
        <w:rPr>
          <w:rFonts w:ascii="Times New Roman" w:hAnsi="Times New Roman"/>
          <w:sz w:val="22"/>
          <w:szCs w:val="22"/>
        </w:rPr>
        <w:t>s and other relevant institutions and stakeholders where appropriate.</w:t>
      </w:r>
    </w:p>
    <w:p w14:paraId="2A721DAE" w14:textId="41B4EA50" w:rsidR="007C3DDD" w:rsidRPr="00DD5FEC" w:rsidRDefault="007C3DDD" w:rsidP="007C3DDD">
      <w:pPr>
        <w:rPr>
          <w:rFonts w:ascii="Times New Roman" w:hAnsi="Times New Roman"/>
          <w:sz w:val="22"/>
          <w:szCs w:val="22"/>
        </w:rPr>
      </w:pPr>
      <w:r w:rsidRPr="00DD5FEC">
        <w:rPr>
          <w:rFonts w:ascii="Times New Roman" w:hAnsi="Times New Roman"/>
          <w:sz w:val="22"/>
          <w:szCs w:val="22"/>
        </w:rPr>
        <w:t xml:space="preserve">As a primary contact point for the implementing consortium, the Ministry of Economic Development </w:t>
      </w:r>
      <w:r w:rsidR="006C4C34" w:rsidRPr="00DD5FEC">
        <w:rPr>
          <w:rFonts w:ascii="Times New Roman" w:hAnsi="Times New Roman"/>
          <w:sz w:val="22"/>
          <w:szCs w:val="22"/>
        </w:rPr>
        <w:t xml:space="preserve">and Tourism </w:t>
      </w:r>
      <w:r w:rsidRPr="00DD5FEC">
        <w:rPr>
          <w:rFonts w:ascii="Times New Roman" w:hAnsi="Times New Roman"/>
          <w:sz w:val="22"/>
          <w:szCs w:val="22"/>
        </w:rPr>
        <w:t>(MED</w:t>
      </w:r>
      <w:r w:rsidR="006C4C34" w:rsidRPr="00DD5FEC">
        <w:rPr>
          <w:rFonts w:ascii="Times New Roman" w:hAnsi="Times New Roman"/>
          <w:sz w:val="22"/>
          <w:szCs w:val="22"/>
        </w:rPr>
        <w:t>T</w:t>
      </w:r>
      <w:r w:rsidRPr="00DD5FEC">
        <w:rPr>
          <w:rFonts w:ascii="Times New Roman" w:hAnsi="Times New Roman"/>
          <w:sz w:val="22"/>
          <w:szCs w:val="22"/>
        </w:rPr>
        <w:t>) will coordinate all activities and liaise with other government bodies in context of the project. The MED</w:t>
      </w:r>
      <w:r w:rsidR="006C4C34" w:rsidRPr="00DD5FEC">
        <w:rPr>
          <w:rFonts w:ascii="Times New Roman" w:hAnsi="Times New Roman"/>
          <w:sz w:val="22"/>
          <w:szCs w:val="22"/>
        </w:rPr>
        <w:t>T</w:t>
      </w:r>
      <w:r w:rsidRPr="00DD5FEC">
        <w:rPr>
          <w:rFonts w:ascii="Times New Roman" w:hAnsi="Times New Roman"/>
          <w:sz w:val="22"/>
          <w:szCs w:val="22"/>
        </w:rPr>
        <w:t xml:space="preserve"> should establish a task force/working group for this purpose. This group may fulfil the role of a supervisory board of the project. Permanent consultation with Montenegrin parties on planning and implementing all project activities is a fundamental pre-condition of successful project implementation. </w:t>
      </w:r>
    </w:p>
    <w:p w14:paraId="76E96424" w14:textId="7475D3D0" w:rsidR="007C3DDD" w:rsidRPr="00DD5FEC" w:rsidRDefault="007C3DDD" w:rsidP="007C3DDD">
      <w:pPr>
        <w:rPr>
          <w:rFonts w:ascii="Times New Roman" w:hAnsi="Times New Roman"/>
          <w:sz w:val="22"/>
          <w:szCs w:val="22"/>
        </w:rPr>
      </w:pPr>
      <w:r w:rsidRPr="00DD5FEC">
        <w:rPr>
          <w:rFonts w:ascii="Times New Roman" w:hAnsi="Times New Roman"/>
          <w:sz w:val="22"/>
          <w:szCs w:val="22"/>
        </w:rPr>
        <w:t xml:space="preserve">The Contractor shall ensure gradual and effective transfer of ownership of all outputs (deliverables) to the Montenegrin party. The relevant matters, including the expected quality, expected periods of transfer, role of the Montenegrin beneficiaries etc, must also agree with the key relevant bodies </w:t>
      </w:r>
      <w:r w:rsidR="006C4C34" w:rsidRPr="00DD5FEC">
        <w:rPr>
          <w:rFonts w:ascii="Times New Roman" w:hAnsi="Times New Roman"/>
          <w:sz w:val="22"/>
          <w:szCs w:val="22"/>
        </w:rPr>
        <w:t xml:space="preserve">in the management structure </w:t>
      </w:r>
      <w:r w:rsidRPr="00DD5FEC">
        <w:rPr>
          <w:rFonts w:ascii="Times New Roman" w:hAnsi="Times New Roman"/>
          <w:sz w:val="22"/>
          <w:szCs w:val="22"/>
        </w:rPr>
        <w:t xml:space="preserve">as listed above. </w:t>
      </w:r>
    </w:p>
    <w:p w14:paraId="72B3A14D"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The Contractor shall be responsible for the day-to-day management of this contract and mobilization of the experts. Plans for the mobilization of the experts will be subject to the project work plan established jointly by the Contractor and the Beneficiary and approved by the Contracting Authority.</w:t>
      </w:r>
    </w:p>
    <w:p w14:paraId="703FFA49"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lastRenderedPageBreak/>
        <w:t>A Project Steering Committee (PSC) from the representatives of the Beneficiary and representatives of other stakeholders, Contracting Authority and the Contractor should be established no later than three months after the commencement of the project. It is expected that SC will meet at least twice a year - within maximum 6-month intervals. The representative of the Beneficiary shall chair the meetings and the Contractor shall ensure proper functioning of the meetings, including the preparation of the agenda, minutes, logistics, translation, etc. PCS’s s aim is to analyse and discuss the strategic direction of the project and will make proposals on any corrective action to ensure the achievement of the objectives of the action and enhance its efficiency, effectiveness, impact and sustainability.</w:t>
      </w:r>
    </w:p>
    <w:p w14:paraId="6171B156"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The main functions of the SC are:</w:t>
      </w:r>
    </w:p>
    <w:p w14:paraId="61AD22F5"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Assessment of contract progress and guiding it on a strategic level;</w:t>
      </w:r>
    </w:p>
    <w:p w14:paraId="4A22EE5D"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Assessment of the performance of the Contractor;</w:t>
      </w:r>
    </w:p>
    <w:p w14:paraId="391F4C10"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Monitoring, assessment and management of risks;</w:t>
      </w:r>
    </w:p>
    <w:p w14:paraId="00B5D955"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Overseeing any critical points of the contract implementation;</w:t>
      </w:r>
    </w:p>
    <w:p w14:paraId="5B5F4B59"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Proposing remedy actions in case of problems;</w:t>
      </w:r>
    </w:p>
    <w:p w14:paraId="71DA7B62"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Recommendations that affect timing, cost or contents;</w:t>
      </w:r>
    </w:p>
    <w:p w14:paraId="65BC530A"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 xml:space="preserve">Reviewing, discussing and approving the Contractor’s reports.  </w:t>
      </w:r>
    </w:p>
    <w:p w14:paraId="04CA8AF7"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 xml:space="preserve">The final composition of the Steering Committee shall be decided during the Inception phase. </w:t>
      </w:r>
    </w:p>
    <w:p w14:paraId="6941E185"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 xml:space="preserve">The Contractor will present the results and all reports at the meetings of the PSC. The PSC will meet and review the contract progress according to the schedule established at the beginning of the project. </w:t>
      </w:r>
    </w:p>
    <w:p w14:paraId="1F75A993"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Regular monthly meetings are to be organised by the Contractor's team with the participation of the beneficiaries and EUD with the purpose to discuss the progress of project implementation. It is expected that sector manager will receive minutes of such meetings in a routine way and be informed on all major project events.</w:t>
      </w:r>
    </w:p>
    <w:p w14:paraId="46EDA824" w14:textId="32C2B91A" w:rsidR="007C3DDD" w:rsidRDefault="007C3DDD" w:rsidP="00B91F1B">
      <w:pPr>
        <w:spacing w:after="0"/>
        <w:rPr>
          <w:rFonts w:ascii="Times New Roman" w:hAnsi="Times New Roman"/>
          <w:sz w:val="22"/>
          <w:szCs w:val="22"/>
        </w:rPr>
      </w:pPr>
      <w:r w:rsidRPr="00DD5FEC">
        <w:rPr>
          <w:rFonts w:ascii="Times New Roman" w:hAnsi="Times New Roman"/>
          <w:sz w:val="22"/>
          <w:szCs w:val="22"/>
        </w:rPr>
        <w:t>Specific coordination and reference groups may also be formed and chaired by the project in some or all of the fields of work concerning the different project components/technical areas. Such groups would represent key stakeholders in the respective areas and, by meeting at more regular intervals, assist the project in detailed planning and delivery of specific activities.</w:t>
      </w:r>
    </w:p>
    <w:p w14:paraId="7343F81A" w14:textId="77777777" w:rsidR="00B91F1B" w:rsidRPr="00DD5FEC" w:rsidRDefault="00B91F1B" w:rsidP="007C3DDD">
      <w:pPr>
        <w:rPr>
          <w:rFonts w:ascii="Times New Roman" w:hAnsi="Times New Roman"/>
          <w:sz w:val="22"/>
          <w:szCs w:val="22"/>
        </w:rPr>
      </w:pPr>
    </w:p>
    <w:p w14:paraId="1CB2679B" w14:textId="77777777" w:rsidR="00BB1BED" w:rsidRPr="00DD5FEC" w:rsidRDefault="00BB1BED" w:rsidP="00B91F1B">
      <w:pPr>
        <w:pStyle w:val="Heading3"/>
      </w:pPr>
      <w:r w:rsidRPr="00DD5FEC">
        <w:t xml:space="preserve">Facilities to be provided by the </w:t>
      </w:r>
      <w:r w:rsidR="00213767" w:rsidRPr="00DD5FEC">
        <w:t>c</w:t>
      </w:r>
      <w:r w:rsidRPr="00DD5FEC">
        <w:t xml:space="preserve">ontracting </w:t>
      </w:r>
      <w:r w:rsidR="00213767" w:rsidRPr="00DD5FEC">
        <w:t>a</w:t>
      </w:r>
      <w:r w:rsidRPr="00DD5FEC">
        <w:t>uthority and/or other parties</w:t>
      </w:r>
    </w:p>
    <w:p w14:paraId="070992B4" w14:textId="77777777" w:rsidR="007C3DDD" w:rsidRPr="00DD5FEC" w:rsidRDefault="007C3DDD" w:rsidP="007C3DDD">
      <w:pPr>
        <w:rPr>
          <w:rFonts w:ascii="Times New Roman" w:hAnsi="Times New Roman"/>
          <w:sz w:val="22"/>
          <w:szCs w:val="22"/>
        </w:rPr>
      </w:pPr>
      <w:bookmarkStart w:id="24" w:name="_Toc438131779"/>
      <w:r w:rsidRPr="00DD5FEC">
        <w:rPr>
          <w:rFonts w:ascii="Times New Roman" w:hAnsi="Times New Roman"/>
          <w:sz w:val="22"/>
          <w:szCs w:val="22"/>
        </w:rPr>
        <w:t>The Beneficiary (-ies) shall provide assistance to the Contractor as necessary to arrange visas for expatriate personnel and temporary residence permits as required by the relevant legislation.</w:t>
      </w:r>
    </w:p>
    <w:p w14:paraId="154DB55F"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The project beneficiaries and the project partners will have to:</w:t>
      </w:r>
    </w:p>
    <w:p w14:paraId="6133B6E8"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Ensure that the required staff will be available to work alongside the experts;</w:t>
      </w:r>
    </w:p>
    <w:p w14:paraId="17FCC15E"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Provide necessary support in the project implementation and facilitate the work with the public administration;</w:t>
      </w:r>
    </w:p>
    <w:p w14:paraId="5692F9E1"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Provide required copies of legislation, regulations, studies, reports and other relevant documents necessary for the implementation of the project, upon request by the Contractor;</w:t>
      </w:r>
    </w:p>
    <w:p w14:paraId="5F89188F"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Provide assistance in the selection of trainees and training participants;</w:t>
      </w:r>
    </w:p>
    <w:p w14:paraId="29800E67"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Support the adoption of necessary governmental and ministerial decisions in order to ensure progress with procedures, staffing etc.;</w:t>
      </w:r>
    </w:p>
    <w:p w14:paraId="30B540D6" w14:textId="77777777" w:rsidR="007C3DDD" w:rsidRPr="00DD5FEC" w:rsidRDefault="007C3DDD" w:rsidP="007C3DDD">
      <w:pPr>
        <w:rPr>
          <w:rFonts w:ascii="Times New Roman" w:hAnsi="Times New Roman"/>
          <w:sz w:val="22"/>
          <w:szCs w:val="22"/>
        </w:rPr>
      </w:pPr>
      <w:r w:rsidRPr="00DD5FEC">
        <w:rPr>
          <w:rFonts w:ascii="Times New Roman" w:hAnsi="Times New Roman"/>
          <w:sz w:val="22"/>
          <w:szCs w:val="22"/>
        </w:rPr>
        <w:t>•</w:t>
      </w:r>
      <w:r w:rsidRPr="00DD5FEC">
        <w:rPr>
          <w:rFonts w:ascii="Times New Roman" w:hAnsi="Times New Roman"/>
          <w:sz w:val="22"/>
          <w:szCs w:val="22"/>
        </w:rPr>
        <w:tab/>
        <w:t>Provide all possible assistance to solve unforeseen problems that the Contractor may face.</w:t>
      </w:r>
    </w:p>
    <w:p w14:paraId="66C8630E" w14:textId="77777777" w:rsidR="00BB1BED" w:rsidRPr="00287A5B" w:rsidRDefault="00BB1BED" w:rsidP="00BB1BED">
      <w:pPr>
        <w:pStyle w:val="Heading1"/>
      </w:pPr>
      <w:r w:rsidRPr="00287A5B">
        <w:lastRenderedPageBreak/>
        <w:t>LOGISTICS AND TIMING</w:t>
      </w:r>
      <w:bookmarkEnd w:id="24"/>
    </w:p>
    <w:p w14:paraId="308D05E0" w14:textId="77777777" w:rsidR="00BB1BED" w:rsidRPr="00DD5FEC" w:rsidRDefault="00BB1BED" w:rsidP="00150137">
      <w:pPr>
        <w:pStyle w:val="Heading2"/>
        <w:rPr>
          <w:sz w:val="22"/>
          <w:szCs w:val="22"/>
        </w:rPr>
      </w:pPr>
      <w:bookmarkStart w:id="25" w:name="_Toc438131780"/>
      <w:r w:rsidRPr="00DD5FEC">
        <w:rPr>
          <w:sz w:val="22"/>
          <w:szCs w:val="22"/>
        </w:rPr>
        <w:t>Location</w:t>
      </w:r>
      <w:bookmarkEnd w:id="25"/>
    </w:p>
    <w:p w14:paraId="74222215" w14:textId="77777777" w:rsidR="007C3DDD" w:rsidRPr="00DD5FEC" w:rsidRDefault="007C3DDD" w:rsidP="007C3DDD">
      <w:pPr>
        <w:keepNext/>
        <w:keepLines/>
        <w:rPr>
          <w:rFonts w:ascii="Times New Roman" w:hAnsi="Times New Roman"/>
          <w:sz w:val="22"/>
          <w:szCs w:val="22"/>
        </w:rPr>
      </w:pPr>
      <w:bookmarkStart w:id="26" w:name="_Toc438131781"/>
      <w:r w:rsidRPr="00BE725A">
        <w:rPr>
          <w:rFonts w:ascii="Times New Roman" w:hAnsi="Times New Roman"/>
          <w:sz w:val="22"/>
          <w:szCs w:val="22"/>
        </w:rPr>
        <w:t>The operational base for the project will be Podgorica, Montenegro. Key and non-key experts, however, may travel to different municipalities for further activities, dissemination or verification of project results.</w:t>
      </w:r>
      <w:r w:rsidRPr="00DD5FEC">
        <w:rPr>
          <w:rFonts w:ascii="Times New Roman" w:hAnsi="Times New Roman"/>
          <w:sz w:val="22"/>
          <w:szCs w:val="22"/>
        </w:rPr>
        <w:t xml:space="preserve"> </w:t>
      </w:r>
    </w:p>
    <w:p w14:paraId="5609F278" w14:textId="1404BC69" w:rsidR="00BB1BED" w:rsidRPr="00DD5FEC" w:rsidRDefault="00BB1BED" w:rsidP="00150137">
      <w:pPr>
        <w:pStyle w:val="Heading2"/>
        <w:rPr>
          <w:sz w:val="22"/>
          <w:szCs w:val="22"/>
        </w:rPr>
      </w:pPr>
      <w:r w:rsidRPr="00DD5FEC">
        <w:rPr>
          <w:sz w:val="22"/>
          <w:szCs w:val="22"/>
        </w:rPr>
        <w:t>Start date &amp; period of implementation</w:t>
      </w:r>
      <w:bookmarkEnd w:id="26"/>
    </w:p>
    <w:p w14:paraId="76BEF8DB" w14:textId="04DA8174" w:rsidR="00B91F1B" w:rsidRPr="00DD5FEC" w:rsidRDefault="00BB1BED" w:rsidP="00230B0D">
      <w:pPr>
        <w:keepLines/>
        <w:rPr>
          <w:rFonts w:ascii="Times New Roman" w:hAnsi="Times New Roman"/>
          <w:sz w:val="22"/>
          <w:szCs w:val="22"/>
        </w:rPr>
      </w:pPr>
      <w:r w:rsidRPr="00DD5FEC">
        <w:rPr>
          <w:rFonts w:ascii="Times New Roman" w:hAnsi="Times New Roman"/>
          <w:sz w:val="22"/>
          <w:szCs w:val="22"/>
        </w:rPr>
        <w:t xml:space="preserve">The intended start date is </w:t>
      </w:r>
      <w:r w:rsidR="006C4C34" w:rsidRPr="00DD5FEC">
        <w:rPr>
          <w:rFonts w:ascii="Times New Roman" w:hAnsi="Times New Roman"/>
          <w:sz w:val="22"/>
          <w:szCs w:val="22"/>
        </w:rPr>
        <w:t>August 2023</w:t>
      </w:r>
      <w:r w:rsidRPr="00DD5FEC">
        <w:rPr>
          <w:rFonts w:ascii="Times New Roman" w:hAnsi="Times New Roman"/>
          <w:sz w:val="22"/>
          <w:szCs w:val="22"/>
        </w:rPr>
        <w:t xml:space="preserve"> and the period of implementation of the contract will be </w:t>
      </w:r>
      <w:r w:rsidR="006C4C34" w:rsidRPr="00DD5FEC">
        <w:rPr>
          <w:rFonts w:ascii="Times New Roman" w:hAnsi="Times New Roman"/>
          <w:sz w:val="22"/>
          <w:szCs w:val="22"/>
        </w:rPr>
        <w:t>24</w:t>
      </w:r>
      <w:r w:rsidRPr="00DD5FEC">
        <w:rPr>
          <w:rFonts w:ascii="Times New Roman" w:hAnsi="Times New Roman"/>
          <w:sz w:val="22"/>
          <w:szCs w:val="22"/>
        </w:rPr>
        <w:t xml:space="preserve"> months from this date. Please see Articles </w:t>
      </w:r>
      <w:r w:rsidR="00902153" w:rsidRPr="00DD5FEC">
        <w:rPr>
          <w:rFonts w:ascii="Times New Roman" w:hAnsi="Times New Roman"/>
          <w:sz w:val="22"/>
          <w:szCs w:val="22"/>
        </w:rPr>
        <w:t>19.1</w:t>
      </w:r>
      <w:r w:rsidRPr="00DD5FEC">
        <w:rPr>
          <w:rFonts w:ascii="Times New Roman" w:hAnsi="Times New Roman"/>
          <w:sz w:val="22"/>
          <w:szCs w:val="22"/>
        </w:rPr>
        <w:t xml:space="preserve"> and </w:t>
      </w:r>
      <w:r w:rsidR="00902153" w:rsidRPr="00DD5FEC">
        <w:rPr>
          <w:rFonts w:ascii="Times New Roman" w:hAnsi="Times New Roman"/>
          <w:sz w:val="22"/>
          <w:szCs w:val="22"/>
        </w:rPr>
        <w:t>19.2</w:t>
      </w:r>
      <w:r w:rsidRPr="00DD5FEC">
        <w:rPr>
          <w:rFonts w:ascii="Times New Roman" w:hAnsi="Times New Roman"/>
          <w:sz w:val="22"/>
          <w:szCs w:val="22"/>
        </w:rPr>
        <w:t xml:space="preserve"> of the </w:t>
      </w:r>
      <w:r w:rsidR="00213767" w:rsidRPr="00DD5FEC">
        <w:rPr>
          <w:rFonts w:ascii="Times New Roman" w:hAnsi="Times New Roman"/>
          <w:sz w:val="22"/>
          <w:szCs w:val="22"/>
        </w:rPr>
        <w:t>s</w:t>
      </w:r>
      <w:r w:rsidRPr="00DD5FEC">
        <w:rPr>
          <w:rFonts w:ascii="Times New Roman" w:hAnsi="Times New Roman"/>
          <w:sz w:val="22"/>
          <w:szCs w:val="22"/>
        </w:rPr>
        <w:t xml:space="preserve">pecial </w:t>
      </w:r>
      <w:r w:rsidR="00213767" w:rsidRPr="00DD5FEC">
        <w:rPr>
          <w:rFonts w:ascii="Times New Roman" w:hAnsi="Times New Roman"/>
          <w:sz w:val="22"/>
          <w:szCs w:val="22"/>
        </w:rPr>
        <w:t>c</w:t>
      </w:r>
      <w:r w:rsidRPr="00DD5FEC">
        <w:rPr>
          <w:rFonts w:ascii="Times New Roman" w:hAnsi="Times New Roman"/>
          <w:sz w:val="22"/>
          <w:szCs w:val="22"/>
        </w:rPr>
        <w:t>onditions for the actual start date and period of implementation.</w:t>
      </w:r>
    </w:p>
    <w:p w14:paraId="679253CC" w14:textId="77777777" w:rsidR="00BB1BED" w:rsidRPr="00287A5B" w:rsidRDefault="00BB1BED" w:rsidP="00BB1BED">
      <w:pPr>
        <w:pStyle w:val="Heading1"/>
      </w:pPr>
      <w:bookmarkStart w:id="27" w:name="_Toc438131782"/>
      <w:r w:rsidRPr="00287A5B">
        <w:t>REQUIREMENTS</w:t>
      </w:r>
      <w:bookmarkEnd w:id="27"/>
    </w:p>
    <w:p w14:paraId="73A5A66D" w14:textId="77777777" w:rsidR="00BB1BED" w:rsidRPr="00DD5FEC" w:rsidRDefault="000077FA" w:rsidP="00150137">
      <w:pPr>
        <w:pStyle w:val="Heading2"/>
        <w:rPr>
          <w:sz w:val="22"/>
          <w:szCs w:val="22"/>
        </w:rPr>
      </w:pPr>
      <w:bookmarkStart w:id="28" w:name="_Toc438131783"/>
      <w:r w:rsidRPr="00DD5FEC">
        <w:rPr>
          <w:sz w:val="22"/>
          <w:szCs w:val="22"/>
        </w:rPr>
        <w:t xml:space="preserve">Personnel </w:t>
      </w:r>
      <w:bookmarkEnd w:id="28"/>
    </w:p>
    <w:p w14:paraId="34EEA453" w14:textId="77777777" w:rsidR="002113F8" w:rsidRPr="00DD5FEC" w:rsidRDefault="006E00A0" w:rsidP="00CA4BC4">
      <w:pPr>
        <w:autoSpaceDE w:val="0"/>
        <w:autoSpaceDN w:val="0"/>
        <w:adjustRightInd w:val="0"/>
        <w:rPr>
          <w:rFonts w:ascii="Times New Roman" w:hAnsi="Times New Roman"/>
          <w:sz w:val="22"/>
          <w:szCs w:val="22"/>
        </w:rPr>
      </w:pPr>
      <w:r w:rsidRPr="00DD5FEC">
        <w:rPr>
          <w:rFonts w:ascii="Times New Roman" w:hAnsi="Times New Roman"/>
          <w:sz w:val="22"/>
          <w:szCs w:val="22"/>
        </w:rPr>
        <w:t>Note that civil servants and other staff of the public administration</w:t>
      </w:r>
      <w:r w:rsidR="00CA0090" w:rsidRPr="00DD5FEC">
        <w:rPr>
          <w:rFonts w:ascii="Times New Roman" w:hAnsi="Times New Roman"/>
          <w:sz w:val="22"/>
          <w:szCs w:val="22"/>
        </w:rPr>
        <w:t xml:space="preserve">, </w:t>
      </w:r>
      <w:r w:rsidRPr="00DD5FEC">
        <w:rPr>
          <w:rFonts w:ascii="Times New Roman" w:hAnsi="Times New Roman"/>
          <w:sz w:val="22"/>
          <w:szCs w:val="22"/>
        </w:rPr>
        <w:t xml:space="preserve">of the </w:t>
      </w:r>
      <w:r w:rsidR="00912313" w:rsidRPr="00DD5FEC">
        <w:rPr>
          <w:rFonts w:ascii="Times New Roman" w:hAnsi="Times New Roman"/>
          <w:sz w:val="22"/>
          <w:szCs w:val="22"/>
        </w:rPr>
        <w:t>partner</w:t>
      </w:r>
      <w:r w:rsidRPr="00DD5FEC">
        <w:rPr>
          <w:rFonts w:ascii="Times New Roman" w:hAnsi="Times New Roman"/>
          <w:sz w:val="22"/>
          <w:szCs w:val="22"/>
        </w:rPr>
        <w:t xml:space="preserve"> country </w:t>
      </w:r>
      <w:r w:rsidR="00B977C5" w:rsidRPr="00DD5FEC">
        <w:rPr>
          <w:rFonts w:ascii="Times New Roman" w:hAnsi="Times New Roman"/>
          <w:sz w:val="22"/>
          <w:szCs w:val="22"/>
        </w:rPr>
        <w:t>or of international/regional organisations based in the country,</w:t>
      </w:r>
      <w:r w:rsidR="00B977C5" w:rsidRPr="00DD5FEC">
        <w:rPr>
          <w:sz w:val="22"/>
          <w:szCs w:val="22"/>
        </w:rPr>
        <w:t xml:space="preserve"> </w:t>
      </w:r>
      <w:r w:rsidR="002113F8" w:rsidRPr="00DD5FEC">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AF3E12" w:rsidRPr="00DD5FEC">
        <w:rPr>
          <w:rFonts w:ascii="Times New Roman" w:hAnsi="Times New Roman"/>
          <w:sz w:val="22"/>
          <w:szCs w:val="22"/>
        </w:rPr>
        <w:t>seconded</w:t>
      </w:r>
      <w:r w:rsidR="002113F8" w:rsidRPr="00DD5FEC">
        <w:rPr>
          <w:rFonts w:ascii="Times New Roman" w:hAnsi="Times New Roman"/>
          <w:sz w:val="22"/>
          <w:szCs w:val="22"/>
        </w:rPr>
        <w:t xml:space="preserve"> or on personal leave. </w:t>
      </w:r>
    </w:p>
    <w:p w14:paraId="4222E064" w14:textId="77777777" w:rsidR="00BB1BED" w:rsidRPr="00AA6D71" w:rsidRDefault="00BB1BED" w:rsidP="006E2226">
      <w:pPr>
        <w:pStyle w:val="Heading3"/>
      </w:pPr>
      <w:r w:rsidRPr="00AA6D71">
        <w:t>Key experts</w:t>
      </w:r>
    </w:p>
    <w:p w14:paraId="4F0726CE" w14:textId="10E720D7" w:rsidR="0012541D" w:rsidRPr="00DD5FEC" w:rsidRDefault="0060796D" w:rsidP="00BB1BED">
      <w:pPr>
        <w:tabs>
          <w:tab w:val="left" w:pos="1134"/>
        </w:tabs>
        <w:rPr>
          <w:rFonts w:ascii="Times New Roman" w:hAnsi="Times New Roman"/>
          <w:sz w:val="22"/>
          <w:szCs w:val="22"/>
        </w:rPr>
      </w:pPr>
      <w:r w:rsidRPr="00DD5FEC">
        <w:rPr>
          <w:rFonts w:ascii="Times New Roman" w:hAnsi="Times New Roman"/>
          <w:sz w:val="22"/>
          <w:szCs w:val="22"/>
        </w:rPr>
        <w:t xml:space="preserve">Key experts have a crucial role in implementing the contract. </w:t>
      </w:r>
      <w:r w:rsidR="0012541D" w:rsidRPr="00DD5FEC">
        <w:rPr>
          <w:rFonts w:ascii="Times New Roman" w:hAnsi="Times New Roman"/>
          <w:sz w:val="22"/>
          <w:szCs w:val="22"/>
        </w:rPr>
        <w:t xml:space="preserve">These terms of reference contain the required key </w:t>
      </w:r>
      <w:r w:rsidR="00E45775" w:rsidRPr="00DD5FEC">
        <w:rPr>
          <w:rFonts w:ascii="Times New Roman" w:hAnsi="Times New Roman"/>
          <w:sz w:val="22"/>
          <w:szCs w:val="22"/>
        </w:rPr>
        <w:t>experts’</w:t>
      </w:r>
      <w:r w:rsidR="0012541D" w:rsidRPr="00DD5FEC">
        <w:rPr>
          <w:rFonts w:ascii="Times New Roman" w:hAnsi="Times New Roman"/>
          <w:sz w:val="22"/>
          <w:szCs w:val="22"/>
        </w:rPr>
        <w:t xml:space="preserve"> profiles. The tenderer shall submit CVs and </w:t>
      </w:r>
      <w:r w:rsidR="00213767" w:rsidRPr="00DD5FEC">
        <w:rPr>
          <w:rFonts w:ascii="Times New Roman" w:hAnsi="Times New Roman"/>
          <w:sz w:val="22"/>
          <w:szCs w:val="22"/>
        </w:rPr>
        <w:t>s</w:t>
      </w:r>
      <w:r w:rsidR="0012541D" w:rsidRPr="00DD5FEC">
        <w:rPr>
          <w:rFonts w:ascii="Times New Roman" w:hAnsi="Times New Roman"/>
          <w:sz w:val="22"/>
          <w:szCs w:val="22"/>
        </w:rPr>
        <w:t xml:space="preserve">tatements of </w:t>
      </w:r>
      <w:r w:rsidR="00213767" w:rsidRPr="00DD5FEC">
        <w:rPr>
          <w:rFonts w:ascii="Times New Roman" w:hAnsi="Times New Roman"/>
          <w:sz w:val="22"/>
          <w:szCs w:val="22"/>
        </w:rPr>
        <w:t>e</w:t>
      </w:r>
      <w:r w:rsidR="0012541D" w:rsidRPr="00DD5FEC">
        <w:rPr>
          <w:rFonts w:ascii="Times New Roman" w:hAnsi="Times New Roman"/>
          <w:sz w:val="22"/>
          <w:szCs w:val="22"/>
        </w:rPr>
        <w:t xml:space="preserve">xclusivity and </w:t>
      </w:r>
      <w:r w:rsidR="00213767" w:rsidRPr="00DD5FEC">
        <w:rPr>
          <w:rFonts w:ascii="Times New Roman" w:hAnsi="Times New Roman"/>
          <w:sz w:val="22"/>
          <w:szCs w:val="22"/>
        </w:rPr>
        <w:t>a</w:t>
      </w:r>
      <w:r w:rsidR="0012541D" w:rsidRPr="00DD5FEC">
        <w:rPr>
          <w:rFonts w:ascii="Times New Roman" w:hAnsi="Times New Roman"/>
          <w:sz w:val="22"/>
          <w:szCs w:val="22"/>
        </w:rPr>
        <w:t>vailability for the following key experts:</w:t>
      </w:r>
    </w:p>
    <w:p w14:paraId="0DE3831E" w14:textId="77777777" w:rsidR="00297C29" w:rsidRPr="00DD5FEC" w:rsidRDefault="00297C29" w:rsidP="00BB1BED">
      <w:pPr>
        <w:tabs>
          <w:tab w:val="left" w:pos="1134"/>
        </w:tabs>
        <w:rPr>
          <w:rFonts w:ascii="Times New Roman" w:hAnsi="Times New Roman"/>
          <w:sz w:val="22"/>
          <w:szCs w:val="22"/>
        </w:rPr>
      </w:pPr>
    </w:p>
    <w:p w14:paraId="6C316AB2" w14:textId="23021602" w:rsidR="00BB1BED" w:rsidRPr="00DD5FEC" w:rsidRDefault="00BB1BED" w:rsidP="00BB1BED">
      <w:pPr>
        <w:tabs>
          <w:tab w:val="left" w:pos="1134"/>
        </w:tabs>
        <w:rPr>
          <w:rFonts w:ascii="Times New Roman" w:hAnsi="Times New Roman"/>
          <w:b/>
          <w:sz w:val="22"/>
          <w:szCs w:val="22"/>
        </w:rPr>
      </w:pPr>
      <w:r w:rsidRPr="00DD5FEC">
        <w:rPr>
          <w:rFonts w:ascii="Times New Roman" w:hAnsi="Times New Roman"/>
          <w:b/>
          <w:sz w:val="22"/>
          <w:szCs w:val="22"/>
        </w:rPr>
        <w:t xml:space="preserve">Key expert 1: </w:t>
      </w:r>
      <w:r w:rsidR="00B54F65" w:rsidRPr="00DD5FEC">
        <w:rPr>
          <w:rFonts w:ascii="Times New Roman" w:hAnsi="Times New Roman"/>
          <w:b/>
          <w:sz w:val="22"/>
          <w:szCs w:val="22"/>
        </w:rPr>
        <w:t>Business Development expert</w:t>
      </w:r>
    </w:p>
    <w:p w14:paraId="5CE3925C" w14:textId="1900B993" w:rsidR="00BB1BED" w:rsidRPr="00DD5FEC" w:rsidRDefault="00BB1BED" w:rsidP="00F24F3B">
      <w:pPr>
        <w:tabs>
          <w:tab w:val="left" w:pos="1134"/>
        </w:tabs>
        <w:rPr>
          <w:rFonts w:ascii="Times New Roman" w:hAnsi="Times New Roman"/>
          <w:sz w:val="22"/>
          <w:szCs w:val="22"/>
          <w:u w:val="single"/>
        </w:rPr>
      </w:pPr>
      <w:r w:rsidRPr="00DD5FEC">
        <w:rPr>
          <w:rFonts w:ascii="Times New Roman" w:hAnsi="Times New Roman"/>
          <w:sz w:val="22"/>
          <w:szCs w:val="22"/>
          <w:u w:val="single"/>
        </w:rPr>
        <w:t>Qualifications and skills</w:t>
      </w:r>
    </w:p>
    <w:p w14:paraId="52265E89" w14:textId="2A1A30A5" w:rsidR="0086337A" w:rsidRPr="00DD5FEC" w:rsidRDefault="0086337A" w:rsidP="00FA2084">
      <w:pPr>
        <w:numPr>
          <w:ilvl w:val="0"/>
          <w:numId w:val="29"/>
        </w:numPr>
        <w:spacing w:after="0"/>
        <w:rPr>
          <w:rFonts w:ascii="Times New Roman" w:hAnsi="Times New Roman"/>
          <w:color w:val="000000"/>
          <w:sz w:val="22"/>
          <w:szCs w:val="22"/>
        </w:rPr>
      </w:pPr>
      <w:r w:rsidRPr="00DD5FEC">
        <w:rPr>
          <w:rFonts w:ascii="Times New Roman" w:hAnsi="Times New Roman"/>
          <w:color w:val="000000"/>
          <w:sz w:val="22"/>
          <w:szCs w:val="22"/>
        </w:rPr>
        <w:t xml:space="preserve">University degree (where a degree has been awarded on completion of four years study in a University or equivalent institution) or at least </w:t>
      </w:r>
      <w:r w:rsidR="005906C1" w:rsidRPr="00DD5FEC">
        <w:rPr>
          <w:rFonts w:ascii="Times New Roman" w:hAnsi="Times New Roman"/>
          <w:color w:val="000000"/>
          <w:sz w:val="22"/>
          <w:szCs w:val="22"/>
        </w:rPr>
        <w:t>8</w:t>
      </w:r>
      <w:r w:rsidRPr="00DD5FEC">
        <w:rPr>
          <w:rFonts w:ascii="Times New Roman" w:hAnsi="Times New Roman"/>
          <w:color w:val="000000"/>
          <w:sz w:val="22"/>
          <w:szCs w:val="22"/>
        </w:rPr>
        <w:t xml:space="preserve"> years of </w:t>
      </w:r>
      <w:r w:rsidR="00D07EC2">
        <w:rPr>
          <w:rFonts w:ascii="Times New Roman" w:hAnsi="Times New Roman"/>
          <w:color w:val="000000"/>
          <w:sz w:val="22"/>
          <w:szCs w:val="22"/>
        </w:rPr>
        <w:t xml:space="preserve">additional </w:t>
      </w:r>
      <w:r w:rsidRPr="00DD5FEC">
        <w:rPr>
          <w:rFonts w:ascii="Times New Roman" w:hAnsi="Times New Roman"/>
          <w:color w:val="000000"/>
          <w:sz w:val="22"/>
          <w:szCs w:val="22"/>
        </w:rPr>
        <w:t>experience</w:t>
      </w:r>
      <w:r w:rsidR="00FA2084">
        <w:rPr>
          <w:rFonts w:ascii="Times New Roman" w:hAnsi="Times New Roman"/>
          <w:color w:val="000000"/>
          <w:sz w:val="22"/>
          <w:szCs w:val="22"/>
        </w:rPr>
        <w:t xml:space="preserve"> on top of that indicated under </w:t>
      </w:r>
      <w:r w:rsidR="00FA2084" w:rsidRPr="00FA2084">
        <w:rPr>
          <w:rFonts w:ascii="Times New Roman" w:hAnsi="Times New Roman"/>
          <w:color w:val="000000"/>
          <w:sz w:val="22"/>
          <w:szCs w:val="22"/>
        </w:rPr>
        <w:t xml:space="preserve">General professional experience </w:t>
      </w:r>
      <w:r w:rsidR="00FA2084">
        <w:rPr>
          <w:rFonts w:ascii="Times New Roman" w:hAnsi="Times New Roman"/>
          <w:color w:val="000000"/>
          <w:sz w:val="22"/>
          <w:szCs w:val="22"/>
        </w:rPr>
        <w:t>below</w:t>
      </w:r>
      <w:r w:rsidRPr="00DD5FEC">
        <w:rPr>
          <w:rFonts w:ascii="Times New Roman" w:hAnsi="Times New Roman"/>
          <w:color w:val="000000"/>
          <w:sz w:val="22"/>
          <w:szCs w:val="22"/>
        </w:rPr>
        <w:t xml:space="preserve">; </w:t>
      </w:r>
    </w:p>
    <w:p w14:paraId="25058E47" w14:textId="77777777" w:rsidR="0086337A" w:rsidRPr="00DD5FEC" w:rsidRDefault="0086337A" w:rsidP="0086337A">
      <w:pPr>
        <w:numPr>
          <w:ilvl w:val="0"/>
          <w:numId w:val="29"/>
        </w:numPr>
        <w:spacing w:after="0"/>
        <w:rPr>
          <w:rFonts w:ascii="Times New Roman" w:hAnsi="Times New Roman"/>
          <w:color w:val="000000"/>
          <w:sz w:val="22"/>
          <w:szCs w:val="22"/>
        </w:rPr>
      </w:pPr>
      <w:r w:rsidRPr="00DD5FEC">
        <w:rPr>
          <w:rFonts w:ascii="Times New Roman" w:hAnsi="Times New Roman"/>
          <w:color w:val="000000"/>
          <w:sz w:val="22"/>
          <w:szCs w:val="22"/>
        </w:rPr>
        <w:t>Master and/or PhD degree will be considered as an asset;</w:t>
      </w:r>
    </w:p>
    <w:p w14:paraId="613011D5" w14:textId="77777777" w:rsidR="0086337A" w:rsidRPr="00DD5FEC" w:rsidRDefault="0086337A" w:rsidP="0086337A">
      <w:pPr>
        <w:numPr>
          <w:ilvl w:val="0"/>
          <w:numId w:val="29"/>
        </w:numPr>
        <w:spacing w:after="0"/>
        <w:rPr>
          <w:rFonts w:ascii="Times New Roman" w:hAnsi="Times New Roman"/>
          <w:color w:val="000000"/>
          <w:sz w:val="22"/>
          <w:szCs w:val="22"/>
        </w:rPr>
      </w:pPr>
      <w:r w:rsidRPr="00DD5FEC">
        <w:rPr>
          <w:rFonts w:ascii="Times New Roman" w:hAnsi="Times New Roman"/>
          <w:sz w:val="22"/>
          <w:szCs w:val="22"/>
          <w:lang w:eastAsia="en-US"/>
        </w:rPr>
        <w:t>Proficient knowledge of English</w:t>
      </w:r>
      <w:r w:rsidRPr="00DD5FEC">
        <w:rPr>
          <w:rFonts w:ascii="Times New Roman" w:hAnsi="Times New Roman"/>
          <w:color w:val="000000"/>
          <w:sz w:val="22"/>
          <w:szCs w:val="22"/>
        </w:rPr>
        <w:t>;</w:t>
      </w:r>
    </w:p>
    <w:p w14:paraId="0C2902A1" w14:textId="77777777" w:rsidR="0086337A" w:rsidRPr="00DD5FEC" w:rsidRDefault="0086337A" w:rsidP="0086337A">
      <w:pPr>
        <w:numPr>
          <w:ilvl w:val="0"/>
          <w:numId w:val="29"/>
        </w:numPr>
        <w:spacing w:after="0"/>
        <w:rPr>
          <w:rFonts w:ascii="Times New Roman" w:hAnsi="Times New Roman"/>
          <w:color w:val="000000"/>
          <w:sz w:val="22"/>
          <w:szCs w:val="22"/>
        </w:rPr>
      </w:pPr>
      <w:r w:rsidRPr="00DD5FEC">
        <w:rPr>
          <w:rFonts w:ascii="Times New Roman" w:hAnsi="Times New Roman"/>
          <w:color w:val="000000"/>
          <w:sz w:val="22"/>
          <w:szCs w:val="22"/>
        </w:rPr>
        <w:t xml:space="preserve">Knowledge of local language </w:t>
      </w:r>
      <w:bookmarkStart w:id="29" w:name="_Hlk116892445"/>
      <w:r w:rsidRPr="00DD5FEC">
        <w:rPr>
          <w:rFonts w:ascii="Times New Roman" w:hAnsi="Times New Roman"/>
          <w:color w:val="000000"/>
          <w:sz w:val="22"/>
          <w:szCs w:val="22"/>
        </w:rPr>
        <w:t>will be considered as an asset</w:t>
      </w:r>
      <w:bookmarkEnd w:id="29"/>
      <w:r w:rsidRPr="00DD5FEC">
        <w:rPr>
          <w:rFonts w:ascii="Times New Roman" w:hAnsi="Times New Roman"/>
          <w:color w:val="000000"/>
          <w:sz w:val="22"/>
          <w:szCs w:val="22"/>
        </w:rPr>
        <w:t>.</w:t>
      </w:r>
    </w:p>
    <w:p w14:paraId="4BDC0130" w14:textId="77777777" w:rsidR="0086337A" w:rsidRPr="00DD5FEC" w:rsidRDefault="0086337A" w:rsidP="00F24F3B">
      <w:pPr>
        <w:tabs>
          <w:tab w:val="left" w:pos="1134"/>
        </w:tabs>
        <w:rPr>
          <w:rFonts w:ascii="Times New Roman" w:hAnsi="Times New Roman"/>
          <w:sz w:val="22"/>
          <w:szCs w:val="22"/>
        </w:rPr>
      </w:pPr>
    </w:p>
    <w:p w14:paraId="2172CCF5" w14:textId="1C56A3B2" w:rsidR="00BB1BED" w:rsidRPr="00DD5FEC" w:rsidRDefault="00BB1BED" w:rsidP="00BB1BED">
      <w:pPr>
        <w:rPr>
          <w:rFonts w:ascii="Times New Roman" w:hAnsi="Times New Roman"/>
          <w:sz w:val="22"/>
          <w:szCs w:val="22"/>
          <w:u w:val="single"/>
        </w:rPr>
      </w:pPr>
      <w:r w:rsidRPr="00DD5FEC">
        <w:rPr>
          <w:rFonts w:ascii="Times New Roman" w:hAnsi="Times New Roman"/>
          <w:sz w:val="22"/>
          <w:szCs w:val="22"/>
          <w:u w:val="single"/>
        </w:rPr>
        <w:t>General professional experience</w:t>
      </w:r>
    </w:p>
    <w:p w14:paraId="55CED43A" w14:textId="1A25230A" w:rsidR="0086337A" w:rsidRPr="00E750AA" w:rsidRDefault="00E750AA" w:rsidP="0086337A">
      <w:pPr>
        <w:numPr>
          <w:ilvl w:val="0"/>
          <w:numId w:val="30"/>
        </w:numPr>
        <w:spacing w:after="0"/>
        <w:rPr>
          <w:rFonts w:ascii="Times New Roman" w:hAnsi="Times New Roman"/>
          <w:color w:val="000000"/>
          <w:sz w:val="22"/>
          <w:szCs w:val="22"/>
        </w:rPr>
      </w:pPr>
      <w:r w:rsidRPr="00E750AA">
        <w:rPr>
          <w:rFonts w:ascii="Times New Roman" w:hAnsi="Times New Roman"/>
          <w:color w:val="000000"/>
          <w:sz w:val="22"/>
          <w:szCs w:val="22"/>
        </w:rPr>
        <w:t xml:space="preserve">At least </w:t>
      </w:r>
      <w:r w:rsidR="0086337A" w:rsidRPr="00E750AA">
        <w:rPr>
          <w:rFonts w:ascii="Times New Roman" w:hAnsi="Times New Roman"/>
          <w:color w:val="000000"/>
          <w:sz w:val="22"/>
          <w:szCs w:val="22"/>
        </w:rPr>
        <w:t>10 years of professional experience related to business development</w:t>
      </w:r>
      <w:r w:rsidR="00555F37" w:rsidRPr="00E750AA">
        <w:rPr>
          <w:rFonts w:ascii="Times New Roman" w:hAnsi="Times New Roman"/>
          <w:color w:val="000000"/>
          <w:sz w:val="22"/>
          <w:szCs w:val="22"/>
        </w:rPr>
        <w:t xml:space="preserve"> and/or entrepreneurship</w:t>
      </w:r>
      <w:r w:rsidR="00C50F8D" w:rsidRPr="00E750AA">
        <w:rPr>
          <w:rFonts w:ascii="Times New Roman" w:hAnsi="Times New Roman"/>
          <w:color w:val="000000"/>
          <w:sz w:val="22"/>
          <w:szCs w:val="22"/>
        </w:rPr>
        <w:t>.</w:t>
      </w:r>
    </w:p>
    <w:p w14:paraId="42D2A8E6" w14:textId="77777777" w:rsidR="0086337A" w:rsidRPr="00DD5FEC" w:rsidRDefault="0086337A" w:rsidP="00BB1BED">
      <w:pPr>
        <w:rPr>
          <w:rFonts w:ascii="Times New Roman" w:hAnsi="Times New Roman"/>
          <w:sz w:val="22"/>
          <w:szCs w:val="22"/>
          <w:u w:val="single"/>
        </w:rPr>
      </w:pPr>
    </w:p>
    <w:p w14:paraId="0D1F053C" w14:textId="09975AFE" w:rsidR="00BB1BED" w:rsidRPr="00DD5FEC" w:rsidRDefault="00BB1BED" w:rsidP="00BB1BED">
      <w:pPr>
        <w:rPr>
          <w:rFonts w:ascii="Times New Roman" w:hAnsi="Times New Roman"/>
          <w:sz w:val="22"/>
          <w:szCs w:val="22"/>
          <w:u w:val="single"/>
        </w:rPr>
      </w:pPr>
      <w:r w:rsidRPr="00DD5FEC">
        <w:rPr>
          <w:rFonts w:ascii="Times New Roman" w:hAnsi="Times New Roman"/>
          <w:sz w:val="22"/>
          <w:szCs w:val="22"/>
          <w:u w:val="single"/>
        </w:rPr>
        <w:t>Specific professional experience</w:t>
      </w:r>
    </w:p>
    <w:p w14:paraId="60796A19" w14:textId="1899EFAD" w:rsidR="006902C9" w:rsidRPr="00E750AA" w:rsidRDefault="006902C9" w:rsidP="00B63833">
      <w:pPr>
        <w:numPr>
          <w:ilvl w:val="0"/>
          <w:numId w:val="30"/>
        </w:numPr>
        <w:spacing w:after="0"/>
        <w:rPr>
          <w:rFonts w:ascii="Times New Roman" w:hAnsi="Times New Roman"/>
          <w:color w:val="000000"/>
          <w:sz w:val="22"/>
          <w:szCs w:val="22"/>
        </w:rPr>
      </w:pPr>
      <w:r w:rsidRPr="00E750AA">
        <w:rPr>
          <w:rFonts w:ascii="Times New Roman" w:hAnsi="Times New Roman"/>
          <w:color w:val="000000"/>
          <w:sz w:val="22"/>
          <w:szCs w:val="22"/>
        </w:rPr>
        <w:t xml:space="preserve">Experience in establishing and developing at least one BDS in </w:t>
      </w:r>
      <w:r w:rsidR="00B63833" w:rsidRPr="00E750AA">
        <w:rPr>
          <w:rFonts w:ascii="Times New Roman" w:hAnsi="Times New Roman"/>
          <w:color w:val="000000"/>
          <w:sz w:val="22"/>
          <w:szCs w:val="22"/>
        </w:rPr>
        <w:t>EU accession countr</w:t>
      </w:r>
      <w:r w:rsidR="00E750AA" w:rsidRPr="00E750AA">
        <w:rPr>
          <w:rFonts w:ascii="Times New Roman" w:hAnsi="Times New Roman"/>
          <w:color w:val="000000"/>
          <w:sz w:val="22"/>
          <w:szCs w:val="22"/>
        </w:rPr>
        <w:t>y(-</w:t>
      </w:r>
      <w:r w:rsidR="00B63833" w:rsidRPr="00E750AA">
        <w:rPr>
          <w:rFonts w:ascii="Times New Roman" w:hAnsi="Times New Roman"/>
          <w:color w:val="000000"/>
          <w:sz w:val="22"/>
          <w:szCs w:val="22"/>
        </w:rPr>
        <w:t>es</w:t>
      </w:r>
      <w:r w:rsidR="00E750AA" w:rsidRPr="00E750AA">
        <w:rPr>
          <w:rFonts w:ascii="Times New Roman" w:hAnsi="Times New Roman"/>
          <w:color w:val="000000"/>
          <w:sz w:val="22"/>
          <w:szCs w:val="22"/>
        </w:rPr>
        <w:t>)</w:t>
      </w:r>
      <w:r w:rsidR="00B63833" w:rsidRPr="00E750AA">
        <w:rPr>
          <w:rFonts w:ascii="Times New Roman" w:hAnsi="Times New Roman"/>
          <w:color w:val="000000"/>
          <w:sz w:val="22"/>
          <w:szCs w:val="22"/>
        </w:rPr>
        <w:t xml:space="preserve"> </w:t>
      </w:r>
      <w:r w:rsidR="00230395" w:rsidRPr="00E750AA">
        <w:rPr>
          <w:rFonts w:ascii="Times New Roman" w:hAnsi="Times New Roman"/>
          <w:color w:val="000000"/>
          <w:sz w:val="22"/>
          <w:szCs w:val="22"/>
        </w:rPr>
        <w:t>and</w:t>
      </w:r>
      <w:r w:rsidR="00B63833" w:rsidRPr="00E750AA">
        <w:rPr>
          <w:rFonts w:ascii="Times New Roman" w:hAnsi="Times New Roman"/>
          <w:color w:val="000000"/>
          <w:sz w:val="22"/>
          <w:szCs w:val="22"/>
        </w:rPr>
        <w:t>/</w:t>
      </w:r>
      <w:r w:rsidRPr="00E750AA">
        <w:rPr>
          <w:rFonts w:ascii="Times New Roman" w:hAnsi="Times New Roman"/>
          <w:color w:val="000000"/>
          <w:sz w:val="22"/>
          <w:szCs w:val="22"/>
        </w:rPr>
        <w:t xml:space="preserve">or EU </w:t>
      </w:r>
      <w:r w:rsidR="00B63833" w:rsidRPr="00E750AA">
        <w:rPr>
          <w:rFonts w:ascii="Times New Roman" w:hAnsi="Times New Roman"/>
          <w:color w:val="000000"/>
          <w:sz w:val="22"/>
          <w:szCs w:val="22"/>
        </w:rPr>
        <w:t>Member State(s)</w:t>
      </w:r>
      <w:r w:rsidRPr="00E750AA">
        <w:rPr>
          <w:rFonts w:ascii="Times New Roman" w:hAnsi="Times New Roman"/>
          <w:color w:val="000000"/>
          <w:sz w:val="22"/>
          <w:szCs w:val="22"/>
        </w:rPr>
        <w:t>;</w:t>
      </w:r>
    </w:p>
    <w:p w14:paraId="70FF367B" w14:textId="275FB75D" w:rsidR="0086337A" w:rsidRPr="00DD5FEC" w:rsidRDefault="0086337A" w:rsidP="0086337A">
      <w:pPr>
        <w:numPr>
          <w:ilvl w:val="0"/>
          <w:numId w:val="30"/>
        </w:numPr>
        <w:spacing w:after="0"/>
        <w:rPr>
          <w:rFonts w:ascii="Times New Roman" w:hAnsi="Times New Roman"/>
          <w:color w:val="000000"/>
          <w:sz w:val="22"/>
          <w:szCs w:val="22"/>
        </w:rPr>
      </w:pPr>
      <w:r w:rsidRPr="00DD5FEC">
        <w:rPr>
          <w:rFonts w:ascii="Times New Roman" w:hAnsi="Times New Roman"/>
          <w:color w:val="000000"/>
          <w:sz w:val="22"/>
          <w:szCs w:val="22"/>
        </w:rPr>
        <w:t xml:space="preserve">A team </w:t>
      </w:r>
      <w:r w:rsidR="00B63833" w:rsidRPr="00DD5FEC">
        <w:rPr>
          <w:rFonts w:ascii="Times New Roman" w:hAnsi="Times New Roman"/>
          <w:color w:val="000000"/>
          <w:sz w:val="22"/>
          <w:szCs w:val="22"/>
        </w:rPr>
        <w:t>leadership experience</w:t>
      </w:r>
      <w:r w:rsidRPr="00DD5FEC">
        <w:rPr>
          <w:rFonts w:ascii="Times New Roman" w:hAnsi="Times New Roman"/>
          <w:color w:val="000000"/>
          <w:sz w:val="22"/>
          <w:szCs w:val="22"/>
        </w:rPr>
        <w:t xml:space="preserve"> in at least one EU-funded </w:t>
      </w:r>
      <w:r w:rsidRPr="00E750AA">
        <w:rPr>
          <w:rFonts w:ascii="Times New Roman" w:hAnsi="Times New Roman"/>
          <w:color w:val="000000"/>
          <w:sz w:val="22"/>
          <w:szCs w:val="22"/>
        </w:rPr>
        <w:t>project</w:t>
      </w:r>
      <w:r w:rsidR="00B54F65" w:rsidRPr="00E750AA">
        <w:rPr>
          <w:rFonts w:ascii="Times New Roman" w:hAnsi="Times New Roman"/>
          <w:color w:val="000000"/>
          <w:sz w:val="22"/>
          <w:szCs w:val="22"/>
        </w:rPr>
        <w:t xml:space="preserve"> in the fields </w:t>
      </w:r>
      <w:r w:rsidR="00E750AA" w:rsidRPr="00E750AA">
        <w:rPr>
          <w:rFonts w:ascii="Times New Roman" w:hAnsi="Times New Roman"/>
          <w:color w:val="000000"/>
          <w:sz w:val="22"/>
          <w:szCs w:val="22"/>
        </w:rPr>
        <w:t xml:space="preserve">of </w:t>
      </w:r>
      <w:r w:rsidR="00282101" w:rsidRPr="00E750AA">
        <w:rPr>
          <w:rFonts w:ascii="Times New Roman" w:hAnsi="Times New Roman"/>
          <w:color w:val="000000"/>
          <w:sz w:val="22"/>
          <w:szCs w:val="22"/>
        </w:rPr>
        <w:t>‘</w:t>
      </w:r>
      <w:r w:rsidR="00282101" w:rsidRPr="00DD5FEC">
        <w:rPr>
          <w:rFonts w:ascii="Times New Roman" w:hAnsi="Times New Roman"/>
          <w:color w:val="000000"/>
          <w:sz w:val="22"/>
          <w:szCs w:val="22"/>
        </w:rPr>
        <w:t xml:space="preserve">Business Development’ and/or ‘EU funds management’ </w:t>
      </w:r>
      <w:r w:rsidRPr="00DD5FEC">
        <w:rPr>
          <w:rFonts w:ascii="Times New Roman" w:hAnsi="Times New Roman"/>
          <w:color w:val="000000"/>
          <w:sz w:val="22"/>
          <w:szCs w:val="22"/>
        </w:rPr>
        <w:t>within the last five (5) years;</w:t>
      </w:r>
    </w:p>
    <w:p w14:paraId="09D9F4FD" w14:textId="7535F0E1" w:rsidR="0086337A" w:rsidRPr="00DD5FEC" w:rsidRDefault="00E750AA" w:rsidP="0086337A">
      <w:pPr>
        <w:numPr>
          <w:ilvl w:val="0"/>
          <w:numId w:val="30"/>
        </w:numPr>
        <w:spacing w:after="0"/>
        <w:rPr>
          <w:rFonts w:ascii="Times New Roman" w:hAnsi="Times New Roman"/>
          <w:color w:val="000000"/>
          <w:sz w:val="22"/>
          <w:szCs w:val="22"/>
        </w:rPr>
      </w:pPr>
      <w:r w:rsidRPr="00E750AA">
        <w:rPr>
          <w:rFonts w:ascii="Times New Roman" w:hAnsi="Times New Roman"/>
          <w:color w:val="000000"/>
          <w:sz w:val="22"/>
          <w:szCs w:val="22"/>
        </w:rPr>
        <w:t xml:space="preserve">At least </w:t>
      </w:r>
      <w:r w:rsidR="006902C9" w:rsidRPr="00E750AA">
        <w:rPr>
          <w:rFonts w:ascii="Times New Roman" w:hAnsi="Times New Roman"/>
          <w:color w:val="000000"/>
          <w:sz w:val="22"/>
          <w:szCs w:val="22"/>
        </w:rPr>
        <w:t>4</w:t>
      </w:r>
      <w:r w:rsidR="0086337A" w:rsidRPr="00E750AA">
        <w:rPr>
          <w:rFonts w:ascii="Times New Roman" w:hAnsi="Times New Roman"/>
          <w:color w:val="000000"/>
          <w:sz w:val="22"/>
          <w:szCs w:val="22"/>
        </w:rPr>
        <w:t xml:space="preserve"> years</w:t>
      </w:r>
      <w:r w:rsidR="0086337A" w:rsidRPr="00DD5FEC">
        <w:rPr>
          <w:rFonts w:ascii="Times New Roman" w:hAnsi="Times New Roman"/>
          <w:color w:val="000000"/>
          <w:sz w:val="22"/>
          <w:szCs w:val="22"/>
        </w:rPr>
        <w:t xml:space="preserve"> of </w:t>
      </w:r>
      <w:r w:rsidR="0086337A" w:rsidRPr="00E750AA">
        <w:rPr>
          <w:rFonts w:ascii="Times New Roman" w:hAnsi="Times New Roman"/>
          <w:color w:val="000000"/>
          <w:sz w:val="22"/>
          <w:szCs w:val="22"/>
        </w:rPr>
        <w:t xml:space="preserve">experience in the institution/body </w:t>
      </w:r>
      <w:r w:rsidR="00555F37" w:rsidRPr="00E750AA">
        <w:rPr>
          <w:rFonts w:ascii="Times New Roman" w:hAnsi="Times New Roman"/>
          <w:color w:val="000000"/>
          <w:sz w:val="22"/>
          <w:szCs w:val="22"/>
        </w:rPr>
        <w:t>supporting</w:t>
      </w:r>
      <w:r w:rsidR="00555F37" w:rsidRPr="00DD5FEC">
        <w:rPr>
          <w:rFonts w:ascii="Times New Roman" w:hAnsi="Times New Roman"/>
          <w:color w:val="000000"/>
          <w:sz w:val="22"/>
          <w:szCs w:val="22"/>
        </w:rPr>
        <w:t xml:space="preserve"> SMEs development</w:t>
      </w:r>
      <w:r w:rsidR="00230395" w:rsidRPr="00DD5FEC">
        <w:rPr>
          <w:rFonts w:ascii="Times New Roman" w:hAnsi="Times New Roman"/>
          <w:color w:val="000000"/>
          <w:sz w:val="22"/>
          <w:szCs w:val="22"/>
        </w:rPr>
        <w:t xml:space="preserve"> in </w:t>
      </w:r>
      <w:r w:rsidR="00757545" w:rsidRPr="00DD5FEC">
        <w:rPr>
          <w:rFonts w:ascii="Times New Roman" w:hAnsi="Times New Roman"/>
          <w:color w:val="000000"/>
          <w:sz w:val="22"/>
          <w:szCs w:val="22"/>
        </w:rPr>
        <w:t xml:space="preserve">the </w:t>
      </w:r>
      <w:r w:rsidR="00230395" w:rsidRPr="00DD5FEC">
        <w:rPr>
          <w:rFonts w:ascii="Times New Roman" w:hAnsi="Times New Roman"/>
          <w:color w:val="000000"/>
          <w:sz w:val="22"/>
          <w:szCs w:val="22"/>
        </w:rPr>
        <w:t>EU accession countr</w:t>
      </w:r>
      <w:r>
        <w:rPr>
          <w:rFonts w:ascii="Times New Roman" w:hAnsi="Times New Roman"/>
          <w:color w:val="000000"/>
          <w:sz w:val="22"/>
          <w:szCs w:val="22"/>
        </w:rPr>
        <w:t>y(-</w:t>
      </w:r>
      <w:r w:rsidR="00230395" w:rsidRPr="00DD5FEC">
        <w:rPr>
          <w:rFonts w:ascii="Times New Roman" w:hAnsi="Times New Roman"/>
          <w:color w:val="000000"/>
          <w:sz w:val="22"/>
          <w:szCs w:val="22"/>
        </w:rPr>
        <w:t>ies</w:t>
      </w:r>
      <w:r>
        <w:rPr>
          <w:rFonts w:ascii="Times New Roman" w:hAnsi="Times New Roman"/>
          <w:color w:val="000000"/>
          <w:sz w:val="22"/>
          <w:szCs w:val="22"/>
        </w:rPr>
        <w:t>)</w:t>
      </w:r>
      <w:r w:rsidR="00230395" w:rsidRPr="00DD5FEC">
        <w:rPr>
          <w:rFonts w:ascii="Times New Roman" w:hAnsi="Times New Roman"/>
          <w:color w:val="000000"/>
          <w:sz w:val="22"/>
          <w:szCs w:val="22"/>
        </w:rPr>
        <w:t xml:space="preserve"> and/or EU Member State(s)</w:t>
      </w:r>
      <w:r w:rsidR="0086337A" w:rsidRPr="00DD5FEC">
        <w:rPr>
          <w:rFonts w:ascii="Times New Roman" w:hAnsi="Times New Roman"/>
          <w:color w:val="000000"/>
          <w:sz w:val="22"/>
          <w:szCs w:val="22"/>
        </w:rPr>
        <w:t>;</w:t>
      </w:r>
    </w:p>
    <w:p w14:paraId="09983B65" w14:textId="13691AEA" w:rsidR="0086337A" w:rsidRPr="00DD5FEC" w:rsidRDefault="0086337A" w:rsidP="0086337A">
      <w:pPr>
        <w:numPr>
          <w:ilvl w:val="0"/>
          <w:numId w:val="30"/>
        </w:numPr>
        <w:spacing w:after="0"/>
        <w:rPr>
          <w:rFonts w:ascii="Times New Roman" w:hAnsi="Times New Roman"/>
          <w:color w:val="000000"/>
          <w:sz w:val="22"/>
          <w:szCs w:val="22"/>
        </w:rPr>
      </w:pPr>
      <w:r w:rsidRPr="00DD5FEC">
        <w:rPr>
          <w:rFonts w:ascii="Times New Roman" w:hAnsi="Times New Roman"/>
          <w:color w:val="000000"/>
          <w:sz w:val="22"/>
          <w:szCs w:val="22"/>
        </w:rPr>
        <w:t>Experience in development and delivery of training programmes</w:t>
      </w:r>
      <w:r w:rsidR="00757545" w:rsidRPr="00DD5FEC">
        <w:rPr>
          <w:rFonts w:ascii="Times New Roman" w:hAnsi="Times New Roman"/>
          <w:color w:val="000000"/>
          <w:sz w:val="22"/>
          <w:szCs w:val="22"/>
        </w:rPr>
        <w:t xml:space="preserve"> for SMEs</w:t>
      </w:r>
      <w:r w:rsidRPr="00DD5FEC">
        <w:rPr>
          <w:rFonts w:ascii="Times New Roman" w:hAnsi="Times New Roman"/>
          <w:color w:val="000000"/>
          <w:sz w:val="22"/>
          <w:szCs w:val="22"/>
        </w:rPr>
        <w:t xml:space="preserve"> </w:t>
      </w:r>
      <w:r w:rsidR="006902C9" w:rsidRPr="00DD5FEC">
        <w:rPr>
          <w:rFonts w:ascii="Times New Roman" w:hAnsi="Times New Roman"/>
          <w:color w:val="000000"/>
          <w:sz w:val="22"/>
          <w:szCs w:val="22"/>
        </w:rPr>
        <w:t>will be considered as an asset.</w:t>
      </w:r>
    </w:p>
    <w:p w14:paraId="191D927E" w14:textId="77777777" w:rsidR="00F24F3B" w:rsidRPr="00DD5FEC" w:rsidRDefault="00F24F3B" w:rsidP="00BB1BED">
      <w:pPr>
        <w:rPr>
          <w:rFonts w:ascii="Times New Roman" w:hAnsi="Times New Roman"/>
          <w:sz w:val="22"/>
          <w:szCs w:val="22"/>
          <w:u w:val="single"/>
        </w:rPr>
      </w:pPr>
    </w:p>
    <w:p w14:paraId="0F02044C" w14:textId="2B4B044B" w:rsidR="00F24F3B" w:rsidRPr="00DD5FEC" w:rsidRDefault="00BB1BED" w:rsidP="00BB1BED">
      <w:pPr>
        <w:tabs>
          <w:tab w:val="left" w:pos="1134"/>
        </w:tabs>
        <w:rPr>
          <w:rFonts w:ascii="Times New Roman" w:hAnsi="Times New Roman"/>
          <w:b/>
          <w:sz w:val="22"/>
          <w:szCs w:val="22"/>
        </w:rPr>
      </w:pPr>
      <w:r w:rsidRPr="00DD5FEC">
        <w:rPr>
          <w:rFonts w:ascii="Times New Roman" w:hAnsi="Times New Roman"/>
          <w:b/>
          <w:sz w:val="22"/>
          <w:szCs w:val="22"/>
        </w:rPr>
        <w:lastRenderedPageBreak/>
        <w:t xml:space="preserve">Key expert 2:  </w:t>
      </w:r>
      <w:r w:rsidR="00F24F3B" w:rsidRPr="00DD5FEC">
        <w:rPr>
          <w:rFonts w:ascii="Times New Roman" w:hAnsi="Times New Roman"/>
          <w:b/>
          <w:sz w:val="22"/>
          <w:szCs w:val="22"/>
        </w:rPr>
        <w:t xml:space="preserve">EU </w:t>
      </w:r>
      <w:r w:rsidR="005E3A6A" w:rsidRPr="00DD5FEC">
        <w:rPr>
          <w:rFonts w:ascii="Times New Roman" w:hAnsi="Times New Roman"/>
          <w:b/>
          <w:sz w:val="22"/>
          <w:szCs w:val="22"/>
        </w:rPr>
        <w:t>funds</w:t>
      </w:r>
      <w:r w:rsidR="00F24F3B" w:rsidRPr="00DD5FEC">
        <w:rPr>
          <w:rFonts w:ascii="Times New Roman" w:hAnsi="Times New Roman"/>
          <w:b/>
          <w:sz w:val="22"/>
          <w:szCs w:val="22"/>
        </w:rPr>
        <w:t xml:space="preserve"> management</w:t>
      </w:r>
      <w:r w:rsidRPr="00DD5FEC">
        <w:rPr>
          <w:rFonts w:ascii="Times New Roman" w:hAnsi="Times New Roman"/>
          <w:b/>
          <w:sz w:val="22"/>
          <w:szCs w:val="22"/>
        </w:rPr>
        <w:t xml:space="preserve"> expert </w:t>
      </w:r>
    </w:p>
    <w:p w14:paraId="0D930380" w14:textId="1FEE1F34" w:rsidR="00F24F3B" w:rsidRPr="00DD5FEC" w:rsidRDefault="00F24F3B" w:rsidP="00BB1BED">
      <w:pPr>
        <w:tabs>
          <w:tab w:val="left" w:pos="1134"/>
        </w:tabs>
        <w:rPr>
          <w:rFonts w:ascii="Times New Roman" w:hAnsi="Times New Roman"/>
          <w:sz w:val="22"/>
          <w:szCs w:val="22"/>
          <w:highlight w:val="lightGray"/>
          <w:u w:val="single"/>
        </w:rPr>
      </w:pPr>
      <w:r w:rsidRPr="00DD5FEC">
        <w:rPr>
          <w:rFonts w:ascii="Times New Roman" w:hAnsi="Times New Roman"/>
          <w:sz w:val="22"/>
          <w:szCs w:val="22"/>
          <w:u w:val="single"/>
        </w:rPr>
        <w:t>Qualifications and skills</w:t>
      </w:r>
    </w:p>
    <w:p w14:paraId="668AC7A7" w14:textId="5A757326" w:rsidR="00F31DB1" w:rsidRPr="006F79C0" w:rsidRDefault="00F31DB1" w:rsidP="00E750AA">
      <w:pPr>
        <w:numPr>
          <w:ilvl w:val="0"/>
          <w:numId w:val="29"/>
        </w:numPr>
        <w:spacing w:after="0"/>
        <w:rPr>
          <w:rFonts w:ascii="Times New Roman" w:hAnsi="Times New Roman"/>
          <w:color w:val="000000"/>
          <w:sz w:val="22"/>
          <w:szCs w:val="22"/>
        </w:rPr>
      </w:pPr>
      <w:r w:rsidRPr="00DD5FEC">
        <w:rPr>
          <w:rFonts w:ascii="Times New Roman" w:hAnsi="Times New Roman"/>
          <w:color w:val="000000"/>
          <w:sz w:val="22"/>
          <w:szCs w:val="22"/>
        </w:rPr>
        <w:t xml:space="preserve">University degree (where a degree has been awarded on completion of four years study in a </w:t>
      </w:r>
      <w:r w:rsidRPr="006F79C0">
        <w:rPr>
          <w:rFonts w:ascii="Times New Roman" w:hAnsi="Times New Roman"/>
          <w:color w:val="000000"/>
          <w:sz w:val="22"/>
          <w:szCs w:val="22"/>
        </w:rPr>
        <w:t xml:space="preserve">University or equivalent institution) or </w:t>
      </w:r>
      <w:r w:rsidR="00E750AA" w:rsidRPr="006F79C0">
        <w:rPr>
          <w:rFonts w:ascii="Times New Roman" w:hAnsi="Times New Roman"/>
          <w:color w:val="000000"/>
          <w:sz w:val="22"/>
          <w:szCs w:val="22"/>
        </w:rPr>
        <w:t>at least 8 years of additional experience on top of that indicated under General professional experience below</w:t>
      </w:r>
      <w:r w:rsidRPr="006F79C0">
        <w:rPr>
          <w:rFonts w:ascii="Times New Roman" w:hAnsi="Times New Roman"/>
          <w:color w:val="000000"/>
          <w:sz w:val="22"/>
          <w:szCs w:val="22"/>
        </w:rPr>
        <w:t xml:space="preserve">; </w:t>
      </w:r>
    </w:p>
    <w:p w14:paraId="751A4AD3" w14:textId="77777777" w:rsidR="00F31DB1" w:rsidRPr="006F79C0" w:rsidRDefault="00F31DB1" w:rsidP="00F31DB1">
      <w:pPr>
        <w:numPr>
          <w:ilvl w:val="0"/>
          <w:numId w:val="29"/>
        </w:numPr>
        <w:spacing w:after="0"/>
        <w:rPr>
          <w:rFonts w:ascii="Times New Roman" w:hAnsi="Times New Roman"/>
          <w:color w:val="000000"/>
          <w:sz w:val="22"/>
          <w:szCs w:val="22"/>
        </w:rPr>
      </w:pPr>
      <w:r w:rsidRPr="006F79C0">
        <w:rPr>
          <w:rFonts w:ascii="Times New Roman" w:hAnsi="Times New Roman"/>
          <w:color w:val="000000"/>
          <w:sz w:val="22"/>
          <w:szCs w:val="22"/>
        </w:rPr>
        <w:t>Master and/or PhD degree will be considered as an asset;</w:t>
      </w:r>
    </w:p>
    <w:p w14:paraId="0CB575D8" w14:textId="77777777" w:rsidR="00F31DB1" w:rsidRPr="006F79C0" w:rsidRDefault="00F31DB1" w:rsidP="00F31DB1">
      <w:pPr>
        <w:numPr>
          <w:ilvl w:val="0"/>
          <w:numId w:val="29"/>
        </w:numPr>
        <w:spacing w:after="0"/>
        <w:rPr>
          <w:rFonts w:ascii="Times New Roman" w:hAnsi="Times New Roman"/>
          <w:color w:val="000000"/>
          <w:sz w:val="22"/>
          <w:szCs w:val="22"/>
        </w:rPr>
      </w:pPr>
      <w:r w:rsidRPr="006F79C0">
        <w:rPr>
          <w:rFonts w:ascii="Times New Roman" w:hAnsi="Times New Roman"/>
          <w:sz w:val="22"/>
          <w:szCs w:val="22"/>
          <w:lang w:eastAsia="en-US"/>
        </w:rPr>
        <w:t>Proficient knowledge of English</w:t>
      </w:r>
      <w:r w:rsidRPr="006F79C0">
        <w:rPr>
          <w:rFonts w:ascii="Times New Roman" w:hAnsi="Times New Roman"/>
          <w:color w:val="000000"/>
          <w:sz w:val="22"/>
          <w:szCs w:val="22"/>
        </w:rPr>
        <w:t>;</w:t>
      </w:r>
    </w:p>
    <w:p w14:paraId="2876963E" w14:textId="77777777" w:rsidR="00F31DB1" w:rsidRPr="006F79C0" w:rsidRDefault="00F31DB1" w:rsidP="00F31DB1">
      <w:pPr>
        <w:numPr>
          <w:ilvl w:val="0"/>
          <w:numId w:val="29"/>
        </w:numPr>
        <w:spacing w:after="0"/>
        <w:rPr>
          <w:rFonts w:ascii="Times New Roman" w:hAnsi="Times New Roman"/>
          <w:color w:val="000000"/>
          <w:sz w:val="22"/>
          <w:szCs w:val="22"/>
        </w:rPr>
      </w:pPr>
      <w:r w:rsidRPr="006F79C0">
        <w:rPr>
          <w:rFonts w:ascii="Times New Roman" w:hAnsi="Times New Roman"/>
          <w:color w:val="000000"/>
          <w:sz w:val="22"/>
          <w:szCs w:val="22"/>
        </w:rPr>
        <w:t>Knowledge of local language will be considered as an asset.</w:t>
      </w:r>
    </w:p>
    <w:p w14:paraId="035EC231" w14:textId="77777777" w:rsidR="00F24F3B" w:rsidRPr="006F79C0" w:rsidRDefault="00F24F3B" w:rsidP="00F24F3B">
      <w:pPr>
        <w:spacing w:after="0"/>
        <w:rPr>
          <w:rFonts w:ascii="Times New Roman" w:hAnsi="Times New Roman"/>
          <w:color w:val="000000"/>
          <w:sz w:val="22"/>
          <w:szCs w:val="22"/>
        </w:rPr>
      </w:pPr>
    </w:p>
    <w:p w14:paraId="654C8DE4" w14:textId="77777777" w:rsidR="00F24F3B" w:rsidRPr="006F79C0" w:rsidRDefault="00F24F3B" w:rsidP="00F24F3B">
      <w:pPr>
        <w:spacing w:after="0"/>
        <w:rPr>
          <w:rFonts w:ascii="Times New Roman" w:hAnsi="Times New Roman"/>
          <w:color w:val="000000"/>
          <w:sz w:val="22"/>
          <w:szCs w:val="22"/>
          <w:u w:val="single"/>
        </w:rPr>
      </w:pPr>
      <w:r w:rsidRPr="006F79C0">
        <w:rPr>
          <w:rFonts w:ascii="Times New Roman" w:hAnsi="Times New Roman"/>
          <w:color w:val="000000"/>
          <w:sz w:val="22"/>
          <w:szCs w:val="22"/>
          <w:u w:val="single"/>
        </w:rPr>
        <w:t>General professional experience:</w:t>
      </w:r>
    </w:p>
    <w:p w14:paraId="44EC5798" w14:textId="60955408" w:rsidR="00F24F3B" w:rsidRPr="006F79C0" w:rsidRDefault="00E750AA" w:rsidP="00F24F3B">
      <w:pPr>
        <w:numPr>
          <w:ilvl w:val="0"/>
          <w:numId w:val="30"/>
        </w:numPr>
        <w:spacing w:after="0"/>
        <w:rPr>
          <w:rFonts w:ascii="Times New Roman" w:hAnsi="Times New Roman"/>
          <w:color w:val="000000"/>
          <w:sz w:val="22"/>
          <w:szCs w:val="22"/>
        </w:rPr>
      </w:pPr>
      <w:r w:rsidRPr="006F79C0">
        <w:rPr>
          <w:rFonts w:ascii="Times New Roman" w:hAnsi="Times New Roman"/>
          <w:color w:val="000000"/>
          <w:sz w:val="22"/>
          <w:szCs w:val="22"/>
        </w:rPr>
        <w:t xml:space="preserve">At least </w:t>
      </w:r>
      <w:r w:rsidR="005E3A6A" w:rsidRPr="006F79C0">
        <w:rPr>
          <w:rFonts w:ascii="Times New Roman" w:hAnsi="Times New Roman"/>
          <w:color w:val="000000"/>
          <w:sz w:val="22"/>
          <w:szCs w:val="22"/>
        </w:rPr>
        <w:t xml:space="preserve">10 </w:t>
      </w:r>
      <w:r w:rsidR="00F24F3B" w:rsidRPr="006F79C0">
        <w:rPr>
          <w:rFonts w:ascii="Times New Roman" w:hAnsi="Times New Roman"/>
          <w:color w:val="000000"/>
          <w:sz w:val="22"/>
          <w:szCs w:val="22"/>
        </w:rPr>
        <w:t xml:space="preserve">years of professional experience related to </w:t>
      </w:r>
      <w:r w:rsidR="004C5759" w:rsidRPr="006F79C0">
        <w:rPr>
          <w:rFonts w:ascii="Times New Roman" w:hAnsi="Times New Roman"/>
          <w:sz w:val="22"/>
          <w:szCs w:val="22"/>
        </w:rPr>
        <w:t>IPA a</w:t>
      </w:r>
      <w:r w:rsidR="004C5759" w:rsidRPr="006F79C0">
        <w:rPr>
          <w:rFonts w:ascii="Times New Roman" w:hAnsi="Times New Roman"/>
          <w:color w:val="000000"/>
          <w:sz w:val="22"/>
          <w:szCs w:val="22"/>
        </w:rPr>
        <w:t>nd/or ESIF</w:t>
      </w:r>
      <w:r w:rsidR="00F24F3B" w:rsidRPr="006F79C0">
        <w:rPr>
          <w:rFonts w:ascii="Times New Roman" w:hAnsi="Times New Roman"/>
          <w:color w:val="000000"/>
          <w:sz w:val="22"/>
          <w:szCs w:val="22"/>
        </w:rPr>
        <w:t>.</w:t>
      </w:r>
    </w:p>
    <w:p w14:paraId="39E92E0C" w14:textId="77777777" w:rsidR="00F24F3B" w:rsidRPr="006F79C0" w:rsidRDefault="00F24F3B" w:rsidP="00F24F3B">
      <w:pPr>
        <w:spacing w:after="0"/>
        <w:rPr>
          <w:rFonts w:ascii="Times New Roman" w:hAnsi="Times New Roman"/>
          <w:color w:val="000000"/>
          <w:sz w:val="22"/>
          <w:szCs w:val="22"/>
        </w:rPr>
      </w:pPr>
    </w:p>
    <w:p w14:paraId="4198554E" w14:textId="77777777" w:rsidR="00F24F3B" w:rsidRPr="006F79C0" w:rsidRDefault="00F24F3B" w:rsidP="00F24F3B">
      <w:pPr>
        <w:spacing w:after="0"/>
        <w:rPr>
          <w:rFonts w:ascii="Times New Roman" w:hAnsi="Times New Roman"/>
          <w:color w:val="000000"/>
          <w:sz w:val="22"/>
          <w:szCs w:val="22"/>
        </w:rPr>
      </w:pPr>
      <w:r w:rsidRPr="006F79C0">
        <w:rPr>
          <w:rFonts w:ascii="Times New Roman" w:hAnsi="Times New Roman"/>
          <w:color w:val="000000"/>
          <w:sz w:val="22"/>
          <w:szCs w:val="22"/>
          <w:u w:val="single"/>
        </w:rPr>
        <w:t>Specific professional experience</w:t>
      </w:r>
      <w:r w:rsidRPr="006F79C0">
        <w:rPr>
          <w:rFonts w:ascii="Times New Roman" w:hAnsi="Times New Roman"/>
          <w:color w:val="000000"/>
          <w:sz w:val="22"/>
          <w:szCs w:val="22"/>
        </w:rPr>
        <w:t>:</w:t>
      </w:r>
    </w:p>
    <w:p w14:paraId="0C0D6E1A" w14:textId="1645836F" w:rsidR="00F24F3B" w:rsidRPr="006F79C0" w:rsidRDefault="00E750AA" w:rsidP="00F24F3B">
      <w:pPr>
        <w:numPr>
          <w:ilvl w:val="0"/>
          <w:numId w:val="30"/>
        </w:numPr>
        <w:spacing w:after="0"/>
        <w:rPr>
          <w:rFonts w:ascii="Times New Roman" w:hAnsi="Times New Roman"/>
          <w:color w:val="000000"/>
          <w:sz w:val="22"/>
          <w:szCs w:val="22"/>
        </w:rPr>
      </w:pPr>
      <w:r w:rsidRPr="006F79C0">
        <w:rPr>
          <w:rFonts w:ascii="Times New Roman" w:hAnsi="Times New Roman"/>
          <w:color w:val="000000"/>
          <w:sz w:val="22"/>
          <w:szCs w:val="22"/>
        </w:rPr>
        <w:t xml:space="preserve">At least </w:t>
      </w:r>
      <w:r w:rsidR="004B3F07" w:rsidRPr="006F79C0">
        <w:rPr>
          <w:rFonts w:ascii="Times New Roman" w:hAnsi="Times New Roman"/>
          <w:color w:val="000000"/>
          <w:sz w:val="22"/>
          <w:szCs w:val="22"/>
        </w:rPr>
        <w:t>7 years</w:t>
      </w:r>
      <w:r w:rsidR="00EA2AC9" w:rsidRPr="006F79C0">
        <w:rPr>
          <w:rFonts w:ascii="Times New Roman" w:hAnsi="Times New Roman"/>
          <w:color w:val="000000"/>
          <w:sz w:val="22"/>
          <w:szCs w:val="22"/>
        </w:rPr>
        <w:t xml:space="preserve"> of professional experience </w:t>
      </w:r>
      <w:r w:rsidR="004B3F07" w:rsidRPr="006F79C0">
        <w:rPr>
          <w:rFonts w:ascii="Times New Roman" w:hAnsi="Times New Roman"/>
          <w:color w:val="000000"/>
          <w:sz w:val="22"/>
          <w:szCs w:val="22"/>
        </w:rPr>
        <w:t>in programming and</w:t>
      </w:r>
      <w:r w:rsidR="00F643AE" w:rsidRPr="006F79C0">
        <w:rPr>
          <w:rFonts w:ascii="Times New Roman" w:hAnsi="Times New Roman"/>
          <w:color w:val="000000"/>
          <w:sz w:val="22"/>
          <w:szCs w:val="22"/>
        </w:rPr>
        <w:t>/or</w:t>
      </w:r>
      <w:r w:rsidR="004B3F07" w:rsidRPr="006F79C0">
        <w:rPr>
          <w:rFonts w:ascii="Times New Roman" w:hAnsi="Times New Roman"/>
          <w:color w:val="000000"/>
          <w:sz w:val="22"/>
          <w:szCs w:val="22"/>
        </w:rPr>
        <w:t xml:space="preserve"> </w:t>
      </w:r>
      <w:r w:rsidR="004B3F07" w:rsidRPr="006F79C0">
        <w:rPr>
          <w:rFonts w:ascii="Times New Roman" w:hAnsi="Times New Roman"/>
          <w:sz w:val="22"/>
          <w:szCs w:val="22"/>
        </w:rPr>
        <w:t>implementation of IPA a</w:t>
      </w:r>
      <w:r w:rsidR="004B3F07" w:rsidRPr="006F79C0">
        <w:rPr>
          <w:rFonts w:ascii="Times New Roman" w:hAnsi="Times New Roman"/>
          <w:color w:val="000000"/>
          <w:sz w:val="22"/>
          <w:szCs w:val="22"/>
        </w:rPr>
        <w:t>nd/or ES</w:t>
      </w:r>
      <w:r w:rsidR="005906C1" w:rsidRPr="006F79C0">
        <w:rPr>
          <w:rFonts w:ascii="Times New Roman" w:hAnsi="Times New Roman"/>
          <w:color w:val="000000"/>
          <w:sz w:val="22"/>
          <w:szCs w:val="22"/>
        </w:rPr>
        <w:t>I</w:t>
      </w:r>
      <w:r w:rsidR="004B3F07" w:rsidRPr="006F79C0">
        <w:rPr>
          <w:rFonts w:ascii="Times New Roman" w:hAnsi="Times New Roman"/>
          <w:color w:val="000000"/>
          <w:sz w:val="22"/>
          <w:szCs w:val="22"/>
        </w:rPr>
        <w:t>F projects;</w:t>
      </w:r>
    </w:p>
    <w:p w14:paraId="00E2B364" w14:textId="25595AA1" w:rsidR="00F24F3B" w:rsidRPr="006F79C0" w:rsidRDefault="008B0658" w:rsidP="00F24F3B">
      <w:pPr>
        <w:numPr>
          <w:ilvl w:val="0"/>
          <w:numId w:val="30"/>
        </w:numPr>
        <w:spacing w:after="0"/>
        <w:rPr>
          <w:rFonts w:ascii="Times New Roman" w:hAnsi="Times New Roman"/>
          <w:color w:val="000000"/>
          <w:sz w:val="22"/>
          <w:szCs w:val="22"/>
        </w:rPr>
      </w:pPr>
      <w:r w:rsidRPr="006F79C0">
        <w:rPr>
          <w:rFonts w:ascii="Times New Roman" w:hAnsi="Times New Roman"/>
          <w:color w:val="000000"/>
          <w:sz w:val="22"/>
          <w:szCs w:val="22"/>
        </w:rPr>
        <w:t>E</w:t>
      </w:r>
      <w:r w:rsidR="00F24F3B" w:rsidRPr="006F79C0">
        <w:rPr>
          <w:rFonts w:ascii="Times New Roman" w:hAnsi="Times New Roman"/>
          <w:color w:val="000000"/>
          <w:sz w:val="22"/>
          <w:szCs w:val="22"/>
        </w:rPr>
        <w:t xml:space="preserve">xperience in </w:t>
      </w:r>
      <w:r w:rsidRPr="006F79C0">
        <w:rPr>
          <w:rFonts w:ascii="Times New Roman" w:hAnsi="Times New Roman"/>
          <w:color w:val="000000"/>
          <w:sz w:val="22"/>
          <w:szCs w:val="22"/>
        </w:rPr>
        <w:t>providing capacity building support for</w:t>
      </w:r>
      <w:r w:rsidR="00F24F3B" w:rsidRPr="006F79C0">
        <w:rPr>
          <w:rFonts w:ascii="Times New Roman" w:hAnsi="Times New Roman"/>
          <w:color w:val="000000"/>
          <w:sz w:val="22"/>
          <w:szCs w:val="22"/>
        </w:rPr>
        <w:t xml:space="preserve"> the national administration/s in </w:t>
      </w:r>
      <w:r w:rsidR="00B47CA5" w:rsidRPr="006F79C0">
        <w:rPr>
          <w:rFonts w:ascii="Times New Roman" w:hAnsi="Times New Roman"/>
          <w:color w:val="000000"/>
          <w:sz w:val="22"/>
          <w:szCs w:val="22"/>
        </w:rPr>
        <w:t xml:space="preserve">the </w:t>
      </w:r>
      <w:r w:rsidR="00282101" w:rsidRPr="006F79C0">
        <w:rPr>
          <w:rFonts w:ascii="Times New Roman" w:hAnsi="Times New Roman"/>
          <w:color w:val="000000"/>
          <w:sz w:val="22"/>
          <w:szCs w:val="22"/>
        </w:rPr>
        <w:t>EU accession countr</w:t>
      </w:r>
      <w:r w:rsidR="00B47CA5" w:rsidRPr="006F79C0">
        <w:rPr>
          <w:rFonts w:ascii="Times New Roman" w:hAnsi="Times New Roman"/>
          <w:color w:val="000000"/>
          <w:sz w:val="22"/>
          <w:szCs w:val="22"/>
        </w:rPr>
        <w:t>y(-</w:t>
      </w:r>
      <w:r w:rsidR="00282101" w:rsidRPr="006F79C0">
        <w:rPr>
          <w:rFonts w:ascii="Times New Roman" w:hAnsi="Times New Roman"/>
          <w:color w:val="000000"/>
          <w:sz w:val="22"/>
          <w:szCs w:val="22"/>
        </w:rPr>
        <w:t>ies</w:t>
      </w:r>
      <w:r w:rsidR="00B47CA5" w:rsidRPr="006F79C0">
        <w:rPr>
          <w:rFonts w:ascii="Times New Roman" w:hAnsi="Times New Roman"/>
          <w:color w:val="000000"/>
          <w:sz w:val="22"/>
          <w:szCs w:val="22"/>
        </w:rPr>
        <w:t>)</w:t>
      </w:r>
      <w:r w:rsidR="00282101" w:rsidRPr="006F79C0">
        <w:rPr>
          <w:rFonts w:ascii="Times New Roman" w:hAnsi="Times New Roman"/>
          <w:color w:val="000000"/>
          <w:sz w:val="22"/>
          <w:szCs w:val="22"/>
        </w:rPr>
        <w:t xml:space="preserve"> and/or EU Member State(s)</w:t>
      </w:r>
      <w:r w:rsidR="00F24F3B" w:rsidRPr="006F79C0">
        <w:rPr>
          <w:rFonts w:ascii="Times New Roman" w:hAnsi="Times New Roman"/>
          <w:color w:val="000000"/>
          <w:sz w:val="22"/>
          <w:szCs w:val="22"/>
        </w:rPr>
        <w:t xml:space="preserve"> in </w:t>
      </w:r>
      <w:r w:rsidRPr="006F79C0">
        <w:rPr>
          <w:rFonts w:ascii="Times New Roman" w:hAnsi="Times New Roman"/>
          <w:color w:val="000000"/>
          <w:sz w:val="22"/>
          <w:szCs w:val="22"/>
        </w:rPr>
        <w:t>programming and implementation of IPA and/or ES</w:t>
      </w:r>
      <w:r w:rsidR="005906C1" w:rsidRPr="006F79C0">
        <w:rPr>
          <w:rFonts w:ascii="Times New Roman" w:hAnsi="Times New Roman"/>
          <w:color w:val="000000"/>
          <w:sz w:val="22"/>
          <w:szCs w:val="22"/>
        </w:rPr>
        <w:t>I</w:t>
      </w:r>
      <w:r w:rsidRPr="006F79C0">
        <w:rPr>
          <w:rFonts w:ascii="Times New Roman" w:hAnsi="Times New Roman"/>
          <w:color w:val="000000"/>
          <w:sz w:val="22"/>
          <w:szCs w:val="22"/>
        </w:rPr>
        <w:t xml:space="preserve">F projects in the </w:t>
      </w:r>
      <w:r w:rsidR="00B47CA5" w:rsidRPr="006F79C0">
        <w:rPr>
          <w:rFonts w:ascii="Times New Roman" w:hAnsi="Times New Roman"/>
          <w:color w:val="000000"/>
          <w:sz w:val="22"/>
          <w:szCs w:val="22"/>
        </w:rPr>
        <w:t xml:space="preserve">fields of </w:t>
      </w:r>
      <w:r w:rsidR="00282101" w:rsidRPr="006F79C0">
        <w:rPr>
          <w:rFonts w:ascii="Times New Roman" w:hAnsi="Times New Roman"/>
          <w:color w:val="000000"/>
          <w:sz w:val="22"/>
          <w:szCs w:val="22"/>
        </w:rPr>
        <w:t>‘Business Development’ and/or ‘EU funds management’;</w:t>
      </w:r>
    </w:p>
    <w:p w14:paraId="7DF17A79" w14:textId="566D6703" w:rsidR="008B0658" w:rsidRPr="006F79C0" w:rsidRDefault="008B0658" w:rsidP="008B0658">
      <w:pPr>
        <w:pStyle w:val="ListParagraph"/>
        <w:numPr>
          <w:ilvl w:val="0"/>
          <w:numId w:val="30"/>
        </w:numPr>
        <w:rPr>
          <w:rFonts w:ascii="Times New Roman" w:hAnsi="Times New Roman"/>
          <w:color w:val="000000"/>
          <w:sz w:val="22"/>
          <w:szCs w:val="22"/>
        </w:rPr>
      </w:pPr>
      <w:r w:rsidRPr="006F79C0">
        <w:rPr>
          <w:rFonts w:ascii="Times New Roman" w:hAnsi="Times New Roman"/>
          <w:color w:val="000000"/>
          <w:sz w:val="22"/>
          <w:szCs w:val="22"/>
        </w:rPr>
        <w:t>Experience in development of institutional framework in process of transition from IPA to ES</w:t>
      </w:r>
      <w:r w:rsidR="005906C1" w:rsidRPr="006F79C0">
        <w:rPr>
          <w:rFonts w:ascii="Times New Roman" w:hAnsi="Times New Roman"/>
          <w:color w:val="000000"/>
          <w:sz w:val="22"/>
          <w:szCs w:val="22"/>
        </w:rPr>
        <w:t>IF</w:t>
      </w:r>
      <w:r w:rsidRPr="006F79C0">
        <w:rPr>
          <w:rFonts w:ascii="Times New Roman" w:hAnsi="Times New Roman"/>
          <w:color w:val="000000"/>
          <w:sz w:val="22"/>
          <w:szCs w:val="22"/>
        </w:rPr>
        <w:t>.</w:t>
      </w:r>
    </w:p>
    <w:p w14:paraId="2EADC747" w14:textId="44F0FF78" w:rsidR="00051867" w:rsidRPr="006F79C0" w:rsidRDefault="00051867" w:rsidP="00051867">
      <w:pPr>
        <w:rPr>
          <w:rFonts w:ascii="Times New Roman" w:hAnsi="Times New Roman"/>
          <w:snapToGrid w:val="0"/>
          <w:sz w:val="22"/>
          <w:szCs w:val="22"/>
          <w:lang w:eastAsia="en-US"/>
        </w:rPr>
      </w:pPr>
      <w:r w:rsidRPr="006F79C0">
        <w:rPr>
          <w:rFonts w:ascii="Times New Roman" w:hAnsi="Times New Roman"/>
          <w:snapToGrid w:val="0"/>
          <w:sz w:val="22"/>
          <w:szCs w:val="22"/>
          <w:lang w:eastAsia="en-US"/>
        </w:rPr>
        <w:t>All experts must be independent and free from conflicts of interest in responsibilities they take on.</w:t>
      </w:r>
    </w:p>
    <w:p w14:paraId="6C857D60" w14:textId="563AB72F" w:rsidR="00185A24" w:rsidRPr="006F79C0" w:rsidRDefault="00202C80" w:rsidP="00051867">
      <w:pPr>
        <w:rPr>
          <w:rFonts w:ascii="Times New Roman" w:hAnsi="Times New Roman"/>
          <w:sz w:val="22"/>
          <w:szCs w:val="22"/>
        </w:rPr>
      </w:pPr>
      <w:r w:rsidRPr="006F79C0">
        <w:rPr>
          <w:rFonts w:ascii="Times New Roman" w:hAnsi="Times New Roman"/>
          <w:sz w:val="22"/>
          <w:szCs w:val="22"/>
        </w:rPr>
        <w:t xml:space="preserve">All </w:t>
      </w:r>
      <w:r w:rsidR="001B5A41" w:rsidRPr="006F79C0">
        <w:rPr>
          <w:rFonts w:ascii="Times New Roman" w:hAnsi="Times New Roman"/>
          <w:sz w:val="22"/>
          <w:szCs w:val="22"/>
        </w:rPr>
        <w:t>experts must spend at least 6</w:t>
      </w:r>
      <w:r w:rsidRPr="006F79C0">
        <w:rPr>
          <w:rFonts w:ascii="Times New Roman" w:hAnsi="Times New Roman"/>
          <w:sz w:val="22"/>
          <w:szCs w:val="22"/>
        </w:rPr>
        <w:t>0% of their work</w:t>
      </w:r>
      <w:r w:rsidR="001B5A41" w:rsidRPr="006F79C0">
        <w:rPr>
          <w:rFonts w:ascii="Times New Roman" w:hAnsi="Times New Roman"/>
          <w:sz w:val="22"/>
          <w:szCs w:val="22"/>
        </w:rPr>
        <w:t>ing</w:t>
      </w:r>
      <w:r w:rsidRPr="006F79C0">
        <w:rPr>
          <w:rFonts w:ascii="Times New Roman" w:hAnsi="Times New Roman"/>
          <w:sz w:val="22"/>
          <w:szCs w:val="22"/>
        </w:rPr>
        <w:t xml:space="preserve"> days in</w:t>
      </w:r>
      <w:r w:rsidR="00070DE2" w:rsidRPr="006F79C0">
        <w:rPr>
          <w:rFonts w:ascii="Times New Roman" w:hAnsi="Times New Roman"/>
          <w:sz w:val="22"/>
          <w:szCs w:val="22"/>
        </w:rPr>
        <w:t xml:space="preserve"> Montenegro.</w:t>
      </w:r>
    </w:p>
    <w:p w14:paraId="75E63405" w14:textId="77777777" w:rsidR="00070DE2" w:rsidRPr="006F79C0" w:rsidRDefault="00070DE2" w:rsidP="00051867">
      <w:pPr>
        <w:rPr>
          <w:rFonts w:ascii="Times New Roman" w:hAnsi="Times New Roman"/>
          <w:sz w:val="22"/>
          <w:szCs w:val="22"/>
        </w:rPr>
      </w:pPr>
    </w:p>
    <w:p w14:paraId="5BC2AB69" w14:textId="77777777" w:rsidR="00BB1BED" w:rsidRPr="006F79C0" w:rsidRDefault="006675AD" w:rsidP="006E2226">
      <w:pPr>
        <w:pStyle w:val="Heading3"/>
      </w:pPr>
      <w:r w:rsidRPr="006F79C0">
        <w:t>Non</w:t>
      </w:r>
      <w:r w:rsidR="008158C4" w:rsidRPr="006F79C0">
        <w:t>-</w:t>
      </w:r>
      <w:r w:rsidRPr="006F79C0">
        <w:t xml:space="preserve">key </w:t>
      </w:r>
      <w:r w:rsidR="00BB1BED" w:rsidRPr="006F79C0">
        <w:t>experts</w:t>
      </w:r>
    </w:p>
    <w:p w14:paraId="3CFD87B0" w14:textId="77777777" w:rsidR="00BB1BED" w:rsidRPr="006F79C0" w:rsidRDefault="00BB1BED" w:rsidP="00BB1BED">
      <w:pPr>
        <w:rPr>
          <w:rFonts w:ascii="Times New Roman" w:hAnsi="Times New Roman"/>
          <w:sz w:val="22"/>
          <w:szCs w:val="22"/>
        </w:rPr>
      </w:pPr>
      <w:r w:rsidRPr="006F79C0">
        <w:rPr>
          <w:rFonts w:ascii="Times New Roman" w:hAnsi="Times New Roman"/>
          <w:sz w:val="22"/>
          <w:szCs w:val="22"/>
        </w:rPr>
        <w:t xml:space="preserve">CVs for </w:t>
      </w:r>
      <w:r w:rsidR="00EE285F" w:rsidRPr="006F79C0">
        <w:rPr>
          <w:rFonts w:ascii="Times New Roman" w:hAnsi="Times New Roman"/>
          <w:sz w:val="22"/>
          <w:szCs w:val="22"/>
        </w:rPr>
        <w:t>non-</w:t>
      </w:r>
      <w:r w:rsidRPr="006F79C0">
        <w:rPr>
          <w:rFonts w:ascii="Times New Roman" w:hAnsi="Times New Roman"/>
          <w:sz w:val="22"/>
          <w:szCs w:val="22"/>
        </w:rPr>
        <w:t xml:space="preserve">key experts </w:t>
      </w:r>
      <w:r w:rsidR="00A87E49" w:rsidRPr="006F79C0">
        <w:rPr>
          <w:rFonts w:ascii="Times New Roman" w:hAnsi="Times New Roman"/>
          <w:sz w:val="22"/>
          <w:szCs w:val="22"/>
        </w:rPr>
        <w:t>should not be submitted in the tender but the</w:t>
      </w:r>
      <w:r w:rsidR="0060796D" w:rsidRPr="006F79C0">
        <w:rPr>
          <w:rFonts w:ascii="Times New Roman" w:hAnsi="Times New Roman"/>
          <w:sz w:val="22"/>
          <w:szCs w:val="22"/>
        </w:rPr>
        <w:t xml:space="preserve"> tenderer will have to demonstrate in their off</w:t>
      </w:r>
      <w:r w:rsidR="00A87E49" w:rsidRPr="006F79C0">
        <w:rPr>
          <w:rFonts w:ascii="Times New Roman" w:hAnsi="Times New Roman"/>
          <w:sz w:val="22"/>
          <w:szCs w:val="22"/>
        </w:rPr>
        <w:t xml:space="preserve">er that they have access to </w:t>
      </w:r>
      <w:r w:rsidR="0060796D" w:rsidRPr="006F79C0">
        <w:rPr>
          <w:rFonts w:ascii="Times New Roman" w:hAnsi="Times New Roman"/>
          <w:sz w:val="22"/>
          <w:szCs w:val="22"/>
        </w:rPr>
        <w:t>experts</w:t>
      </w:r>
      <w:r w:rsidR="00A87E49" w:rsidRPr="006F79C0">
        <w:rPr>
          <w:rFonts w:ascii="Times New Roman" w:hAnsi="Times New Roman"/>
          <w:sz w:val="22"/>
          <w:szCs w:val="22"/>
        </w:rPr>
        <w:t xml:space="preserve"> with the required profiles</w:t>
      </w:r>
      <w:r w:rsidR="0060796D" w:rsidRPr="006F79C0">
        <w:rPr>
          <w:rFonts w:ascii="Times New Roman" w:hAnsi="Times New Roman"/>
          <w:sz w:val="22"/>
          <w:szCs w:val="22"/>
        </w:rPr>
        <w:t xml:space="preserve">. </w:t>
      </w:r>
    </w:p>
    <w:p w14:paraId="654B2F0C" w14:textId="7FDC0A83" w:rsidR="00BB1BED" w:rsidRPr="006F79C0" w:rsidRDefault="00BB1BED" w:rsidP="00BB1BED">
      <w:pPr>
        <w:rPr>
          <w:rFonts w:ascii="Times New Roman" w:hAnsi="Times New Roman"/>
          <w:sz w:val="22"/>
          <w:szCs w:val="22"/>
        </w:rPr>
      </w:pPr>
      <w:r w:rsidRPr="006F79C0">
        <w:rPr>
          <w:rFonts w:ascii="Times New Roman" w:hAnsi="Times New Roman"/>
          <w:sz w:val="22"/>
          <w:szCs w:val="22"/>
        </w:rPr>
        <w:t xml:space="preserve">The </w:t>
      </w:r>
      <w:r w:rsidR="00F757F3" w:rsidRPr="006F79C0">
        <w:rPr>
          <w:rFonts w:ascii="Times New Roman" w:hAnsi="Times New Roman"/>
          <w:sz w:val="22"/>
          <w:szCs w:val="22"/>
        </w:rPr>
        <w:t>c</w:t>
      </w:r>
      <w:r w:rsidR="00732CF8" w:rsidRPr="006F79C0">
        <w:rPr>
          <w:rFonts w:ascii="Times New Roman" w:hAnsi="Times New Roman"/>
          <w:sz w:val="22"/>
          <w:szCs w:val="22"/>
        </w:rPr>
        <w:t>ontractor</w:t>
      </w:r>
      <w:r w:rsidRPr="006F79C0">
        <w:rPr>
          <w:rFonts w:ascii="Times New Roman" w:hAnsi="Times New Roman"/>
          <w:sz w:val="22"/>
          <w:szCs w:val="22"/>
        </w:rPr>
        <w:t xml:space="preserve"> must select and hire other experts as required according to the profiles identified in the </w:t>
      </w:r>
      <w:r w:rsidR="00F757F3" w:rsidRPr="006F79C0">
        <w:rPr>
          <w:rFonts w:ascii="Times New Roman" w:hAnsi="Times New Roman"/>
          <w:sz w:val="22"/>
          <w:szCs w:val="22"/>
        </w:rPr>
        <w:t>o</w:t>
      </w:r>
      <w:r w:rsidRPr="006F79C0">
        <w:rPr>
          <w:rFonts w:ascii="Times New Roman" w:hAnsi="Times New Roman"/>
          <w:sz w:val="22"/>
          <w:szCs w:val="22"/>
        </w:rPr>
        <w:t xml:space="preserve">rganisation &amp; </w:t>
      </w:r>
      <w:r w:rsidR="00F757F3" w:rsidRPr="006F79C0">
        <w:rPr>
          <w:rFonts w:ascii="Times New Roman" w:hAnsi="Times New Roman"/>
          <w:sz w:val="22"/>
          <w:szCs w:val="22"/>
        </w:rPr>
        <w:t>m</w:t>
      </w:r>
      <w:r w:rsidRPr="006F79C0">
        <w:rPr>
          <w:rFonts w:ascii="Times New Roman" w:hAnsi="Times New Roman"/>
          <w:sz w:val="22"/>
          <w:szCs w:val="22"/>
        </w:rPr>
        <w:t xml:space="preserve">ethodology and/or these </w:t>
      </w:r>
      <w:r w:rsidR="00F757F3" w:rsidRPr="006F79C0">
        <w:rPr>
          <w:rFonts w:ascii="Times New Roman" w:hAnsi="Times New Roman"/>
          <w:sz w:val="22"/>
          <w:szCs w:val="22"/>
        </w:rPr>
        <w:t>t</w:t>
      </w:r>
      <w:r w:rsidRPr="006F79C0">
        <w:rPr>
          <w:rFonts w:ascii="Times New Roman" w:hAnsi="Times New Roman"/>
          <w:sz w:val="22"/>
          <w:szCs w:val="22"/>
        </w:rPr>
        <w:t xml:space="preserve">erms of </w:t>
      </w:r>
      <w:r w:rsidR="00F757F3" w:rsidRPr="006F79C0">
        <w:rPr>
          <w:rFonts w:ascii="Times New Roman" w:hAnsi="Times New Roman"/>
          <w:sz w:val="22"/>
          <w:szCs w:val="22"/>
        </w:rPr>
        <w:t>r</w:t>
      </w:r>
      <w:r w:rsidRPr="006F79C0">
        <w:rPr>
          <w:rFonts w:ascii="Times New Roman" w:hAnsi="Times New Roman"/>
          <w:sz w:val="22"/>
          <w:szCs w:val="22"/>
        </w:rPr>
        <w:t>eference</w:t>
      </w:r>
      <w:r w:rsidR="007C3DDD" w:rsidRPr="006F79C0">
        <w:rPr>
          <w:rFonts w:ascii="Times New Roman" w:hAnsi="Times New Roman"/>
          <w:sz w:val="22"/>
          <w:szCs w:val="22"/>
        </w:rPr>
        <w:t xml:space="preserve">. </w:t>
      </w:r>
      <w:r w:rsidR="00EE285F" w:rsidRPr="006F79C0">
        <w:rPr>
          <w:rFonts w:ascii="Times New Roman" w:hAnsi="Times New Roman"/>
          <w:sz w:val="22"/>
          <w:szCs w:val="22"/>
        </w:rPr>
        <w:t xml:space="preserve">It </w:t>
      </w:r>
      <w:r w:rsidRPr="006F79C0">
        <w:rPr>
          <w:rFonts w:ascii="Times New Roman" w:hAnsi="Times New Roman"/>
          <w:sz w:val="22"/>
          <w:szCs w:val="22"/>
        </w:rPr>
        <w:t>must clearly indicate the</w:t>
      </w:r>
      <w:r w:rsidR="00EE285F" w:rsidRPr="006F79C0">
        <w:rPr>
          <w:rFonts w:ascii="Times New Roman" w:hAnsi="Times New Roman"/>
          <w:sz w:val="22"/>
          <w:szCs w:val="22"/>
        </w:rPr>
        <w:t xml:space="preserve"> experts’</w:t>
      </w:r>
      <w:r w:rsidRPr="006F79C0">
        <w:rPr>
          <w:rFonts w:ascii="Times New Roman" w:hAnsi="Times New Roman"/>
          <w:sz w:val="22"/>
          <w:szCs w:val="22"/>
        </w:rPr>
        <w:t xml:space="preserve"> profile so that the applicable daily fee rate in the budget breakdown is clear. All experts must be independent and free from conflicts of interest in the responsibilities they take on.</w:t>
      </w:r>
      <w:r w:rsidR="0060796D" w:rsidRPr="006F79C0">
        <w:rPr>
          <w:rFonts w:ascii="Times New Roman" w:hAnsi="Times New Roman"/>
          <w:sz w:val="22"/>
          <w:szCs w:val="22"/>
        </w:rPr>
        <w:t xml:space="preserve"> </w:t>
      </w:r>
    </w:p>
    <w:p w14:paraId="1058BD79" w14:textId="1C08BB1D" w:rsidR="00D81292" w:rsidRPr="006F79C0" w:rsidRDefault="00BB1BED" w:rsidP="00D81292">
      <w:pPr>
        <w:keepNext/>
        <w:keepLines/>
        <w:rPr>
          <w:rFonts w:ascii="Times New Roman" w:hAnsi="Times New Roman"/>
          <w:sz w:val="22"/>
          <w:szCs w:val="22"/>
        </w:rPr>
      </w:pPr>
      <w:r w:rsidRPr="006F79C0">
        <w:rPr>
          <w:rFonts w:ascii="Times New Roman" w:hAnsi="Times New Roman"/>
          <w:sz w:val="22"/>
          <w:szCs w:val="22"/>
        </w:rPr>
        <w:t xml:space="preserve">The selection procedures used by the </w:t>
      </w:r>
      <w:r w:rsidR="00F757F3" w:rsidRPr="006F79C0">
        <w:rPr>
          <w:rFonts w:ascii="Times New Roman" w:hAnsi="Times New Roman"/>
          <w:sz w:val="22"/>
          <w:szCs w:val="22"/>
        </w:rPr>
        <w:t>c</w:t>
      </w:r>
      <w:r w:rsidR="00732CF8" w:rsidRPr="006F79C0">
        <w:rPr>
          <w:rFonts w:ascii="Times New Roman" w:hAnsi="Times New Roman"/>
          <w:sz w:val="22"/>
          <w:szCs w:val="22"/>
        </w:rPr>
        <w:t>ontractor</w:t>
      </w:r>
      <w:r w:rsidRPr="006F79C0">
        <w:rPr>
          <w:rFonts w:ascii="Times New Roman" w:hAnsi="Times New Roman"/>
          <w:sz w:val="22"/>
          <w:szCs w:val="22"/>
        </w:rPr>
        <w:t xml:space="preserve"> to select these other experts must be transparent, and must be based on pre-defined criteria, including professional qualifications, </w:t>
      </w:r>
      <w:r w:rsidR="0097081C" w:rsidRPr="006F79C0">
        <w:rPr>
          <w:rFonts w:ascii="Times New Roman" w:hAnsi="Times New Roman"/>
          <w:sz w:val="22"/>
          <w:szCs w:val="22"/>
        </w:rPr>
        <w:t xml:space="preserve">absence of conflict of interests, </w:t>
      </w:r>
      <w:r w:rsidRPr="006F79C0">
        <w:rPr>
          <w:rFonts w:ascii="Times New Roman" w:hAnsi="Times New Roman"/>
          <w:sz w:val="22"/>
          <w:szCs w:val="22"/>
        </w:rPr>
        <w:t xml:space="preserve">language skills and work experience. The findings of the selection panel must be recorded. The selected experts must be subject to approval by the </w:t>
      </w:r>
      <w:r w:rsidR="00F757F3" w:rsidRPr="006F79C0">
        <w:rPr>
          <w:rFonts w:ascii="Times New Roman" w:hAnsi="Times New Roman"/>
          <w:sz w:val="22"/>
          <w:szCs w:val="22"/>
        </w:rPr>
        <w:t>c</w:t>
      </w:r>
      <w:r w:rsidRPr="006F79C0">
        <w:rPr>
          <w:rFonts w:ascii="Times New Roman" w:hAnsi="Times New Roman"/>
          <w:sz w:val="22"/>
          <w:szCs w:val="22"/>
        </w:rPr>
        <w:t xml:space="preserve">ontracting </w:t>
      </w:r>
      <w:r w:rsidR="00F757F3" w:rsidRPr="006F79C0">
        <w:rPr>
          <w:rFonts w:ascii="Times New Roman" w:hAnsi="Times New Roman"/>
          <w:sz w:val="22"/>
          <w:szCs w:val="22"/>
        </w:rPr>
        <w:t>a</w:t>
      </w:r>
      <w:r w:rsidRPr="006F79C0">
        <w:rPr>
          <w:rFonts w:ascii="Times New Roman" w:hAnsi="Times New Roman"/>
          <w:sz w:val="22"/>
          <w:szCs w:val="22"/>
        </w:rPr>
        <w:t>uthority</w:t>
      </w:r>
      <w:r w:rsidR="00D81292" w:rsidRPr="006F79C0">
        <w:rPr>
          <w:rFonts w:ascii="Times New Roman" w:hAnsi="Times New Roman"/>
          <w:sz w:val="22"/>
          <w:szCs w:val="22"/>
        </w:rPr>
        <w:t xml:space="preserve"> before the start of their implementation of tasks</w:t>
      </w:r>
      <w:r w:rsidRPr="006F79C0">
        <w:rPr>
          <w:rFonts w:ascii="Times New Roman" w:hAnsi="Times New Roman"/>
          <w:sz w:val="22"/>
          <w:szCs w:val="22"/>
        </w:rPr>
        <w:t>.</w:t>
      </w:r>
      <w:r w:rsidR="00D81292" w:rsidRPr="006F79C0">
        <w:rPr>
          <w:rFonts w:ascii="Times New Roman" w:hAnsi="Times New Roman"/>
          <w:sz w:val="22"/>
          <w:szCs w:val="22"/>
        </w:rPr>
        <w:t xml:space="preserve"> </w:t>
      </w:r>
    </w:p>
    <w:p w14:paraId="6B582AA4" w14:textId="2532F447" w:rsidR="00917BE0" w:rsidRPr="006F79C0" w:rsidRDefault="00917BE0" w:rsidP="00D81292">
      <w:pPr>
        <w:keepNext/>
        <w:keepLines/>
        <w:rPr>
          <w:rFonts w:ascii="Times New Roman" w:hAnsi="Times New Roman"/>
          <w:sz w:val="22"/>
          <w:szCs w:val="22"/>
        </w:rPr>
      </w:pPr>
      <w:r w:rsidRPr="006F79C0">
        <w:rPr>
          <w:rFonts w:ascii="Times New Roman" w:hAnsi="Times New Roman"/>
          <w:sz w:val="22"/>
          <w:szCs w:val="22"/>
        </w:rPr>
        <w:t xml:space="preserve">Non-key experts must have experience in </w:t>
      </w:r>
      <w:r w:rsidR="005906C1" w:rsidRPr="006F79C0">
        <w:rPr>
          <w:rFonts w:ascii="Times New Roman" w:hAnsi="Times New Roman"/>
          <w:sz w:val="22"/>
          <w:szCs w:val="22"/>
        </w:rPr>
        <w:t xml:space="preserve">the following </w:t>
      </w:r>
      <w:r w:rsidRPr="006F79C0">
        <w:rPr>
          <w:rFonts w:ascii="Times New Roman" w:hAnsi="Times New Roman"/>
          <w:sz w:val="22"/>
          <w:szCs w:val="22"/>
        </w:rPr>
        <w:t>areas relevant to project:</w:t>
      </w:r>
    </w:p>
    <w:p w14:paraId="1D128806" w14:textId="3CC75854" w:rsidR="00917BE0" w:rsidRPr="006F79C0" w:rsidRDefault="00917BE0" w:rsidP="00C06096">
      <w:pPr>
        <w:pStyle w:val="ListParagraph"/>
        <w:keepNext/>
        <w:keepLines/>
        <w:numPr>
          <w:ilvl w:val="0"/>
          <w:numId w:val="32"/>
        </w:numPr>
        <w:rPr>
          <w:rFonts w:ascii="Times New Roman" w:hAnsi="Times New Roman"/>
          <w:sz w:val="22"/>
          <w:szCs w:val="22"/>
        </w:rPr>
      </w:pPr>
      <w:r w:rsidRPr="006F79C0">
        <w:rPr>
          <w:rFonts w:ascii="Times New Roman" w:hAnsi="Times New Roman"/>
          <w:sz w:val="22"/>
          <w:szCs w:val="22"/>
        </w:rPr>
        <w:t>MSME development</w:t>
      </w:r>
    </w:p>
    <w:p w14:paraId="5327E12C" w14:textId="3460D58E" w:rsidR="005906C1" w:rsidRPr="006F79C0" w:rsidRDefault="00917BE0" w:rsidP="00C06096">
      <w:pPr>
        <w:pStyle w:val="ListParagraph"/>
        <w:keepNext/>
        <w:keepLines/>
        <w:numPr>
          <w:ilvl w:val="0"/>
          <w:numId w:val="32"/>
        </w:numPr>
        <w:rPr>
          <w:rFonts w:ascii="Times New Roman" w:hAnsi="Times New Roman"/>
          <w:sz w:val="22"/>
          <w:szCs w:val="22"/>
        </w:rPr>
      </w:pPr>
      <w:r w:rsidRPr="006F79C0">
        <w:rPr>
          <w:rFonts w:ascii="Times New Roman" w:hAnsi="Times New Roman"/>
          <w:sz w:val="22"/>
          <w:szCs w:val="22"/>
        </w:rPr>
        <w:t>Intellectual property</w:t>
      </w:r>
    </w:p>
    <w:p w14:paraId="5B1AF570" w14:textId="77777777" w:rsidR="00C06096" w:rsidRPr="006F79C0" w:rsidRDefault="00C06096" w:rsidP="00C06096">
      <w:pPr>
        <w:pStyle w:val="ListParagraph"/>
        <w:keepNext/>
        <w:keepLines/>
        <w:numPr>
          <w:ilvl w:val="0"/>
          <w:numId w:val="32"/>
        </w:numPr>
        <w:rPr>
          <w:rFonts w:ascii="Times New Roman" w:hAnsi="Times New Roman"/>
          <w:sz w:val="22"/>
          <w:szCs w:val="22"/>
        </w:rPr>
      </w:pPr>
      <w:r w:rsidRPr="006F79C0">
        <w:rPr>
          <w:rFonts w:ascii="Times New Roman" w:hAnsi="Times New Roman"/>
          <w:sz w:val="22"/>
          <w:szCs w:val="22"/>
        </w:rPr>
        <w:t>Info</w:t>
      </w:r>
      <w:bookmarkStart w:id="30" w:name="_GoBack"/>
      <w:bookmarkEnd w:id="30"/>
      <w:r w:rsidRPr="006F79C0">
        <w:rPr>
          <w:rFonts w:ascii="Times New Roman" w:hAnsi="Times New Roman"/>
          <w:sz w:val="22"/>
          <w:szCs w:val="22"/>
        </w:rPr>
        <w:t xml:space="preserve">rmation and Communication Technologies (ICT) </w:t>
      </w:r>
    </w:p>
    <w:p w14:paraId="469473F8" w14:textId="4EA8F28D" w:rsidR="00917BE0" w:rsidRPr="006F79C0" w:rsidRDefault="00C06096" w:rsidP="00C06096">
      <w:pPr>
        <w:pStyle w:val="ListParagraph"/>
        <w:keepNext/>
        <w:keepLines/>
        <w:numPr>
          <w:ilvl w:val="0"/>
          <w:numId w:val="32"/>
        </w:numPr>
        <w:rPr>
          <w:rFonts w:ascii="Times New Roman" w:hAnsi="Times New Roman"/>
          <w:sz w:val="22"/>
          <w:szCs w:val="22"/>
        </w:rPr>
      </w:pPr>
      <w:r w:rsidRPr="006F79C0">
        <w:rPr>
          <w:rFonts w:ascii="Times New Roman" w:hAnsi="Times New Roman"/>
          <w:sz w:val="22"/>
          <w:szCs w:val="22"/>
        </w:rPr>
        <w:t>EU funds management</w:t>
      </w:r>
      <w:r w:rsidR="00917BE0" w:rsidRPr="006F79C0">
        <w:rPr>
          <w:rFonts w:ascii="Times New Roman" w:hAnsi="Times New Roman"/>
          <w:sz w:val="22"/>
          <w:szCs w:val="22"/>
        </w:rPr>
        <w:t xml:space="preserve"> </w:t>
      </w:r>
      <w:r w:rsidR="00282101" w:rsidRPr="006F79C0">
        <w:rPr>
          <w:rFonts w:ascii="Times New Roman" w:hAnsi="Times New Roman"/>
          <w:sz w:val="22"/>
          <w:szCs w:val="22"/>
        </w:rPr>
        <w:t>(IPA and ESIF)</w:t>
      </w:r>
    </w:p>
    <w:p w14:paraId="091975AC" w14:textId="10362EBA" w:rsidR="00AD7909" w:rsidRPr="006F79C0" w:rsidRDefault="00C06096" w:rsidP="00AD7909">
      <w:pPr>
        <w:pStyle w:val="ListParagraph"/>
        <w:keepNext/>
        <w:keepLines/>
        <w:numPr>
          <w:ilvl w:val="0"/>
          <w:numId w:val="32"/>
        </w:numPr>
        <w:rPr>
          <w:rFonts w:ascii="Times New Roman" w:hAnsi="Times New Roman"/>
          <w:sz w:val="22"/>
          <w:szCs w:val="22"/>
        </w:rPr>
      </w:pPr>
      <w:r w:rsidRPr="006F79C0">
        <w:rPr>
          <w:rFonts w:ascii="Times New Roman" w:hAnsi="Times New Roman"/>
          <w:sz w:val="22"/>
          <w:szCs w:val="22"/>
        </w:rPr>
        <w:t xml:space="preserve">Other relevant areas </w:t>
      </w:r>
    </w:p>
    <w:p w14:paraId="2D317F4C" w14:textId="6EED1977" w:rsidR="00202C80" w:rsidRPr="006F79C0" w:rsidRDefault="00202C80" w:rsidP="00202C80">
      <w:pPr>
        <w:keepNext/>
        <w:keepLines/>
        <w:rPr>
          <w:rFonts w:ascii="Times New Roman" w:hAnsi="Times New Roman"/>
          <w:sz w:val="22"/>
          <w:szCs w:val="22"/>
        </w:rPr>
      </w:pPr>
      <w:r w:rsidRPr="006F79C0">
        <w:rPr>
          <w:rFonts w:ascii="Times New Roman" w:hAnsi="Times New Roman"/>
          <w:sz w:val="22"/>
          <w:szCs w:val="22"/>
        </w:rPr>
        <w:t>Th</w:t>
      </w:r>
      <w:r w:rsidR="00070DE2" w:rsidRPr="006F79C0">
        <w:rPr>
          <w:rFonts w:ascii="Times New Roman" w:hAnsi="Times New Roman"/>
          <w:sz w:val="22"/>
          <w:szCs w:val="22"/>
        </w:rPr>
        <w:t>e Contractor shall specify the N</w:t>
      </w:r>
      <w:r w:rsidRPr="006F79C0">
        <w:rPr>
          <w:rFonts w:ascii="Times New Roman" w:hAnsi="Times New Roman"/>
          <w:sz w:val="22"/>
          <w:szCs w:val="22"/>
        </w:rPr>
        <w:t xml:space="preserve">o. of working days for Senior Experts and Junior Experts and reflect the numbers in the financial offer. </w:t>
      </w:r>
    </w:p>
    <w:p w14:paraId="06EB6579" w14:textId="5EED5ECC" w:rsidR="00202C80" w:rsidRPr="006F79C0" w:rsidRDefault="00202C80" w:rsidP="00202C80">
      <w:pPr>
        <w:keepNext/>
        <w:keepLines/>
        <w:rPr>
          <w:rFonts w:ascii="Times New Roman" w:hAnsi="Times New Roman"/>
          <w:sz w:val="22"/>
          <w:szCs w:val="22"/>
        </w:rPr>
      </w:pPr>
      <w:r w:rsidRPr="006F79C0">
        <w:rPr>
          <w:rFonts w:ascii="Times New Roman" w:hAnsi="Times New Roman"/>
          <w:sz w:val="22"/>
          <w:szCs w:val="22"/>
        </w:rPr>
        <w:t>Required general professional experience for the non-key experts is at least 5 years for the senior, and at least 3 years for the junior experts.</w:t>
      </w:r>
    </w:p>
    <w:p w14:paraId="376983D4" w14:textId="77777777" w:rsidR="00BB1BED" w:rsidRPr="006F79C0" w:rsidRDefault="00BB1BED" w:rsidP="006E2226">
      <w:pPr>
        <w:pStyle w:val="Heading3"/>
      </w:pPr>
      <w:r w:rsidRPr="006F79C0">
        <w:t>Support staff &amp; backstopping</w:t>
      </w:r>
    </w:p>
    <w:p w14:paraId="65F330AF" w14:textId="0D7186FA" w:rsidR="00BB1BED" w:rsidRPr="00DD5FEC" w:rsidRDefault="00B05ED3" w:rsidP="00BB1BED">
      <w:pPr>
        <w:rPr>
          <w:rFonts w:ascii="Times New Roman" w:hAnsi="Times New Roman"/>
          <w:sz w:val="22"/>
          <w:szCs w:val="22"/>
        </w:rPr>
      </w:pPr>
      <w:r w:rsidRPr="006F79C0">
        <w:rPr>
          <w:rFonts w:ascii="Times New Roman" w:hAnsi="Times New Roman"/>
          <w:sz w:val="22"/>
          <w:szCs w:val="22"/>
        </w:rPr>
        <w:t xml:space="preserve">The </w:t>
      </w:r>
      <w:r w:rsidR="00F757F3" w:rsidRPr="006F79C0">
        <w:rPr>
          <w:rFonts w:ascii="Times New Roman" w:hAnsi="Times New Roman"/>
          <w:sz w:val="22"/>
          <w:szCs w:val="22"/>
        </w:rPr>
        <w:t>c</w:t>
      </w:r>
      <w:r w:rsidRPr="006F79C0">
        <w:rPr>
          <w:rFonts w:ascii="Times New Roman" w:hAnsi="Times New Roman"/>
          <w:sz w:val="22"/>
          <w:szCs w:val="22"/>
        </w:rPr>
        <w:t>ontractor will provide support facilities to their team of experts (back-stopping) during the implementation of the contract.</w:t>
      </w:r>
      <w:r w:rsidR="00BB1BED" w:rsidRPr="00DD5FEC">
        <w:rPr>
          <w:rFonts w:ascii="Times New Roman" w:hAnsi="Times New Roman"/>
          <w:sz w:val="22"/>
          <w:szCs w:val="22"/>
        </w:rPr>
        <w:t xml:space="preserve"> </w:t>
      </w:r>
    </w:p>
    <w:p w14:paraId="2CF6FA5E" w14:textId="12C26AFD" w:rsidR="00E53A88" w:rsidRPr="00DD5FEC" w:rsidRDefault="00BB1BED" w:rsidP="00BB1BED">
      <w:pPr>
        <w:spacing w:after="0"/>
        <w:jc w:val="left"/>
        <w:rPr>
          <w:rFonts w:ascii="Times New Roman" w:hAnsi="Times New Roman"/>
          <w:sz w:val="22"/>
          <w:szCs w:val="22"/>
        </w:rPr>
      </w:pPr>
      <w:r w:rsidRPr="00DD5FEC">
        <w:rPr>
          <w:rFonts w:ascii="Times New Roman" w:hAnsi="Times New Roman"/>
          <w:sz w:val="22"/>
          <w:szCs w:val="22"/>
        </w:rPr>
        <w:t>Backstopping and support staff costs must be included in the fee rates.</w:t>
      </w:r>
      <w:r w:rsidR="00B05ED3" w:rsidRPr="00DD5FEC">
        <w:rPr>
          <w:rFonts w:ascii="Times New Roman" w:hAnsi="Times New Roman"/>
          <w:sz w:val="22"/>
          <w:szCs w:val="22"/>
        </w:rPr>
        <w:t xml:space="preserve"> </w:t>
      </w:r>
      <w:r w:rsidRPr="00DD5FEC">
        <w:rPr>
          <w:rFonts w:ascii="Times New Roman" w:hAnsi="Times New Roman"/>
          <w:sz w:val="22"/>
          <w:szCs w:val="22"/>
        </w:rPr>
        <w:t xml:space="preserve"> </w:t>
      </w:r>
    </w:p>
    <w:p w14:paraId="19EFC2E4" w14:textId="77777777" w:rsidR="00BB1BED" w:rsidRPr="00DD5FEC" w:rsidRDefault="00BB1BED" w:rsidP="00150137">
      <w:pPr>
        <w:pStyle w:val="Heading2"/>
        <w:rPr>
          <w:sz w:val="22"/>
          <w:szCs w:val="22"/>
        </w:rPr>
      </w:pPr>
      <w:bookmarkStart w:id="31" w:name="_Toc438131784"/>
      <w:r w:rsidRPr="00DD5FEC">
        <w:rPr>
          <w:sz w:val="22"/>
          <w:szCs w:val="22"/>
        </w:rPr>
        <w:lastRenderedPageBreak/>
        <w:t>Office accommodation</w:t>
      </w:r>
      <w:bookmarkEnd w:id="31"/>
    </w:p>
    <w:p w14:paraId="1E145708" w14:textId="65B0052E" w:rsidR="00BB1BED" w:rsidRPr="00DD5FEC" w:rsidRDefault="00BB1BED" w:rsidP="004C4966">
      <w:pPr>
        <w:rPr>
          <w:rFonts w:ascii="Times New Roman" w:hAnsi="Times New Roman"/>
          <w:sz w:val="22"/>
          <w:szCs w:val="22"/>
        </w:rPr>
      </w:pPr>
      <w:r w:rsidRPr="00DD5FEC">
        <w:rPr>
          <w:rFonts w:ascii="Times New Roman" w:hAnsi="Times New Roman"/>
          <w:sz w:val="22"/>
          <w:szCs w:val="22"/>
        </w:rPr>
        <w:t xml:space="preserve">Office accommodation of a reasonable standard and of approximately 10 square metres for each expert working on the contract is to be provided by the </w:t>
      </w:r>
      <w:r w:rsidR="00F757F3" w:rsidRPr="00DD5FEC">
        <w:rPr>
          <w:rFonts w:ascii="Times New Roman" w:hAnsi="Times New Roman"/>
          <w:sz w:val="22"/>
          <w:szCs w:val="22"/>
        </w:rPr>
        <w:t>c</w:t>
      </w:r>
      <w:r w:rsidR="00732CF8" w:rsidRPr="00DD5FEC">
        <w:rPr>
          <w:rFonts w:ascii="Times New Roman" w:hAnsi="Times New Roman"/>
          <w:sz w:val="22"/>
          <w:szCs w:val="22"/>
        </w:rPr>
        <w:t>ontractor</w:t>
      </w:r>
      <w:r w:rsidRPr="00DD5FEC">
        <w:rPr>
          <w:rFonts w:ascii="Times New Roman" w:hAnsi="Times New Roman"/>
          <w:sz w:val="22"/>
          <w:szCs w:val="22"/>
        </w:rPr>
        <w:t>:</w:t>
      </w:r>
    </w:p>
    <w:p w14:paraId="0E846FFA" w14:textId="59091E41" w:rsidR="00BB1BED" w:rsidRPr="00DD5FEC" w:rsidRDefault="00BB1BED" w:rsidP="00BB1BED">
      <w:pPr>
        <w:rPr>
          <w:rFonts w:ascii="Times New Roman" w:hAnsi="Times New Roman"/>
          <w:sz w:val="22"/>
          <w:szCs w:val="22"/>
        </w:rPr>
      </w:pPr>
      <w:r w:rsidRPr="00B47CA5">
        <w:rPr>
          <w:rFonts w:ascii="Times New Roman" w:hAnsi="Times New Roman"/>
          <w:sz w:val="22"/>
          <w:szCs w:val="22"/>
        </w:rPr>
        <w:t>The costs of the office accommodation are to be covered by the fee rates.</w:t>
      </w:r>
    </w:p>
    <w:p w14:paraId="41D3E1FB" w14:textId="77777777" w:rsidR="00BB1BED" w:rsidRPr="00DD5FEC" w:rsidRDefault="00BB1BED" w:rsidP="00150137">
      <w:pPr>
        <w:pStyle w:val="Heading2"/>
        <w:rPr>
          <w:sz w:val="22"/>
          <w:szCs w:val="22"/>
        </w:rPr>
      </w:pPr>
      <w:bookmarkStart w:id="32" w:name="_Toc438131785"/>
      <w:r w:rsidRPr="00DD5FEC">
        <w:rPr>
          <w:sz w:val="22"/>
          <w:szCs w:val="22"/>
        </w:rPr>
        <w:t xml:space="preserve">Facilities to be provided by the </w:t>
      </w:r>
      <w:r w:rsidR="00F757F3" w:rsidRPr="00DD5FEC">
        <w:rPr>
          <w:sz w:val="22"/>
          <w:szCs w:val="22"/>
        </w:rPr>
        <w:t>c</w:t>
      </w:r>
      <w:r w:rsidR="00732CF8" w:rsidRPr="00DD5FEC">
        <w:rPr>
          <w:sz w:val="22"/>
          <w:szCs w:val="22"/>
        </w:rPr>
        <w:t>ontractor</w:t>
      </w:r>
      <w:bookmarkEnd w:id="32"/>
    </w:p>
    <w:p w14:paraId="789144CE" w14:textId="5DD1463E" w:rsidR="00BB1BED" w:rsidRPr="00DD5FEC" w:rsidRDefault="00BB1BED" w:rsidP="00BB1BED">
      <w:pPr>
        <w:rPr>
          <w:rFonts w:ascii="Times New Roman" w:hAnsi="Times New Roman"/>
          <w:sz w:val="22"/>
          <w:szCs w:val="22"/>
        </w:rPr>
      </w:pPr>
      <w:r w:rsidRPr="00DD5FEC">
        <w:rPr>
          <w:rFonts w:ascii="Times New Roman" w:hAnsi="Times New Roman"/>
          <w:sz w:val="22"/>
          <w:szCs w:val="22"/>
        </w:rPr>
        <w:t xml:space="preserve">The </w:t>
      </w:r>
      <w:r w:rsidR="00F757F3" w:rsidRPr="00DD5FEC">
        <w:rPr>
          <w:rFonts w:ascii="Times New Roman" w:hAnsi="Times New Roman"/>
          <w:sz w:val="22"/>
          <w:szCs w:val="22"/>
        </w:rPr>
        <w:t>c</w:t>
      </w:r>
      <w:r w:rsidR="00732CF8" w:rsidRPr="00DD5FEC">
        <w:rPr>
          <w:rFonts w:ascii="Times New Roman" w:hAnsi="Times New Roman"/>
          <w:sz w:val="22"/>
          <w:szCs w:val="22"/>
        </w:rPr>
        <w:t>ontractor</w:t>
      </w:r>
      <w:r w:rsidRPr="00DD5FEC">
        <w:rPr>
          <w:rFonts w:ascii="Times New Roman" w:hAnsi="Times New Roman"/>
          <w:sz w:val="22"/>
          <w:szCs w:val="22"/>
        </w:rPr>
        <w:t xml:space="preserve"> must ensure that experts are adequately supported and equipped. In </w:t>
      </w:r>
      <w:r w:rsidR="00AA6858" w:rsidRPr="00DD5FEC">
        <w:rPr>
          <w:rFonts w:ascii="Times New Roman" w:hAnsi="Times New Roman"/>
          <w:sz w:val="22"/>
          <w:szCs w:val="22"/>
        </w:rPr>
        <w:t>particular,</w:t>
      </w:r>
      <w:r w:rsidRPr="00DD5FEC">
        <w:rPr>
          <w:rFonts w:ascii="Times New Roman" w:hAnsi="Times New Roman"/>
          <w:sz w:val="22"/>
          <w:szCs w:val="22"/>
        </w:rPr>
        <w:t xml:space="preserve">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14:paraId="1F557B3F" w14:textId="77777777" w:rsidR="00BB1BED" w:rsidRPr="00DD5FEC" w:rsidRDefault="00BB1BED" w:rsidP="00150137">
      <w:pPr>
        <w:pStyle w:val="Heading2"/>
        <w:rPr>
          <w:sz w:val="22"/>
          <w:szCs w:val="22"/>
        </w:rPr>
      </w:pPr>
      <w:bookmarkStart w:id="33" w:name="_Toc438131786"/>
      <w:r w:rsidRPr="00DD5FEC">
        <w:rPr>
          <w:sz w:val="22"/>
          <w:szCs w:val="22"/>
        </w:rPr>
        <w:t>Equipment</w:t>
      </w:r>
      <w:bookmarkEnd w:id="33"/>
    </w:p>
    <w:p w14:paraId="2D65DCF4" w14:textId="77777777" w:rsidR="00BB1BED" w:rsidRPr="00DD5FEC" w:rsidRDefault="00BB1BED" w:rsidP="00BB1BED">
      <w:pPr>
        <w:rPr>
          <w:rFonts w:ascii="Times New Roman" w:hAnsi="Times New Roman"/>
          <w:sz w:val="22"/>
          <w:szCs w:val="22"/>
        </w:rPr>
      </w:pPr>
      <w:r w:rsidRPr="00DD5FEC">
        <w:rPr>
          <w:rFonts w:ascii="Times New Roman" w:hAnsi="Times New Roman"/>
          <w:b/>
          <w:sz w:val="22"/>
          <w:szCs w:val="22"/>
        </w:rPr>
        <w:t>No</w:t>
      </w:r>
      <w:r w:rsidRPr="00DD5FEC">
        <w:rPr>
          <w:rFonts w:ascii="Times New Roman" w:hAnsi="Times New Roman"/>
          <w:sz w:val="22"/>
          <w:szCs w:val="22"/>
        </w:rPr>
        <w:t xml:space="preserve"> equipment is to be purchased on behalf of the </w:t>
      </w:r>
      <w:r w:rsidR="00F757F3" w:rsidRPr="00DD5FEC">
        <w:rPr>
          <w:rFonts w:ascii="Times New Roman" w:hAnsi="Times New Roman"/>
          <w:sz w:val="22"/>
          <w:szCs w:val="22"/>
        </w:rPr>
        <w:t>c</w:t>
      </w:r>
      <w:r w:rsidRPr="00DD5FEC">
        <w:rPr>
          <w:rFonts w:ascii="Times New Roman" w:hAnsi="Times New Roman"/>
          <w:sz w:val="22"/>
          <w:szCs w:val="22"/>
        </w:rPr>
        <w:t xml:space="preserve">ontracting </w:t>
      </w:r>
      <w:r w:rsidR="00F757F3" w:rsidRPr="00DD5FEC">
        <w:rPr>
          <w:rFonts w:ascii="Times New Roman" w:hAnsi="Times New Roman"/>
          <w:sz w:val="22"/>
          <w:szCs w:val="22"/>
        </w:rPr>
        <w:t>a</w:t>
      </w:r>
      <w:r w:rsidRPr="00DD5FEC">
        <w:rPr>
          <w:rFonts w:ascii="Times New Roman" w:hAnsi="Times New Roman"/>
          <w:sz w:val="22"/>
          <w:szCs w:val="22"/>
        </w:rPr>
        <w:t xml:space="preserve">uthority / </w:t>
      </w:r>
      <w:r w:rsidR="00912313" w:rsidRPr="00DD5FEC">
        <w:rPr>
          <w:rFonts w:ascii="Times New Roman" w:hAnsi="Times New Roman"/>
          <w:sz w:val="22"/>
          <w:szCs w:val="22"/>
        </w:rPr>
        <w:t>partner</w:t>
      </w:r>
      <w:r w:rsidRPr="00DD5FEC">
        <w:rPr>
          <w:rFonts w:ascii="Times New Roman" w:hAnsi="Times New Roman"/>
          <w:sz w:val="22"/>
          <w:szCs w:val="22"/>
        </w:rPr>
        <w:t xml:space="preserve"> country as part of this service contract or transferred to the </w:t>
      </w:r>
      <w:r w:rsidR="00F757F3" w:rsidRPr="00DD5FEC">
        <w:rPr>
          <w:rFonts w:ascii="Times New Roman" w:hAnsi="Times New Roman"/>
          <w:sz w:val="22"/>
          <w:szCs w:val="22"/>
        </w:rPr>
        <w:t>c</w:t>
      </w:r>
      <w:r w:rsidRPr="00DD5FEC">
        <w:rPr>
          <w:rFonts w:ascii="Times New Roman" w:hAnsi="Times New Roman"/>
          <w:sz w:val="22"/>
          <w:szCs w:val="22"/>
        </w:rPr>
        <w:t xml:space="preserve">ontracting </w:t>
      </w:r>
      <w:r w:rsidR="00F757F3" w:rsidRPr="00DD5FEC">
        <w:rPr>
          <w:rFonts w:ascii="Times New Roman" w:hAnsi="Times New Roman"/>
          <w:sz w:val="22"/>
          <w:szCs w:val="22"/>
        </w:rPr>
        <w:t>a</w:t>
      </w:r>
      <w:r w:rsidRPr="00DD5FEC">
        <w:rPr>
          <w:rFonts w:ascii="Times New Roman" w:hAnsi="Times New Roman"/>
          <w:sz w:val="22"/>
          <w:szCs w:val="22"/>
        </w:rPr>
        <w:t xml:space="preserve">uthority / </w:t>
      </w:r>
      <w:r w:rsidR="00912313" w:rsidRPr="00DD5FEC">
        <w:rPr>
          <w:rFonts w:ascii="Times New Roman" w:hAnsi="Times New Roman"/>
          <w:sz w:val="22"/>
          <w:szCs w:val="22"/>
        </w:rPr>
        <w:t>partner</w:t>
      </w:r>
      <w:r w:rsidRPr="00DD5FEC">
        <w:rPr>
          <w:rFonts w:ascii="Times New Roman" w:hAnsi="Times New Roman"/>
          <w:sz w:val="22"/>
          <w:szCs w:val="22"/>
        </w:rPr>
        <w:t xml:space="preserve"> country at the end of this contract. Any equipment related to this contract that is to be acquired by the </w:t>
      </w:r>
      <w:r w:rsidR="00912313" w:rsidRPr="00DD5FEC">
        <w:rPr>
          <w:rFonts w:ascii="Times New Roman" w:hAnsi="Times New Roman"/>
          <w:sz w:val="22"/>
          <w:szCs w:val="22"/>
        </w:rPr>
        <w:t>partner</w:t>
      </w:r>
      <w:r w:rsidRPr="00DD5FEC">
        <w:rPr>
          <w:rFonts w:ascii="Times New Roman" w:hAnsi="Times New Roman"/>
          <w:sz w:val="22"/>
          <w:szCs w:val="22"/>
        </w:rPr>
        <w:t xml:space="preserve"> country must be purchased by means of a separate supply tender procedure.</w:t>
      </w:r>
    </w:p>
    <w:p w14:paraId="37DA57E7" w14:textId="77777777" w:rsidR="00BB1BED" w:rsidRPr="00DD5FEC" w:rsidRDefault="00BB1BED" w:rsidP="00150137">
      <w:pPr>
        <w:pStyle w:val="Heading2"/>
        <w:rPr>
          <w:sz w:val="22"/>
          <w:szCs w:val="22"/>
        </w:rPr>
      </w:pPr>
      <w:bookmarkStart w:id="34" w:name="_Toc438131787"/>
      <w:r w:rsidRPr="00DD5FEC">
        <w:rPr>
          <w:sz w:val="22"/>
          <w:szCs w:val="22"/>
        </w:rPr>
        <w:t>Incidental expenditure</w:t>
      </w:r>
      <w:bookmarkEnd w:id="34"/>
    </w:p>
    <w:p w14:paraId="4E6B1BE6" w14:textId="77777777" w:rsidR="00BB1BED" w:rsidRPr="00DD5FEC" w:rsidRDefault="00BB1BED" w:rsidP="00BB1BED">
      <w:pPr>
        <w:rPr>
          <w:rFonts w:ascii="Times New Roman" w:hAnsi="Times New Roman"/>
          <w:sz w:val="22"/>
          <w:szCs w:val="22"/>
        </w:rPr>
      </w:pPr>
      <w:r w:rsidRPr="00DD5FEC">
        <w:rPr>
          <w:rFonts w:ascii="Times New Roman" w:hAnsi="Times New Roman"/>
          <w:sz w:val="22"/>
          <w:szCs w:val="22"/>
        </w:rPr>
        <w:t xml:space="preserve">The provision for incidental expenditure covers ancillary and exceptional eligible expenditure incurred under this contract. It cannot be used for costs that should be covered by the </w:t>
      </w:r>
      <w:r w:rsidR="00F757F3" w:rsidRPr="00DD5FEC">
        <w:rPr>
          <w:rFonts w:ascii="Times New Roman" w:hAnsi="Times New Roman"/>
          <w:sz w:val="22"/>
          <w:szCs w:val="22"/>
        </w:rPr>
        <w:t>c</w:t>
      </w:r>
      <w:r w:rsidR="00732CF8" w:rsidRPr="00DD5FEC">
        <w:rPr>
          <w:rFonts w:ascii="Times New Roman" w:hAnsi="Times New Roman"/>
          <w:sz w:val="22"/>
          <w:szCs w:val="22"/>
        </w:rPr>
        <w:t>ontractor</w:t>
      </w:r>
      <w:r w:rsidRPr="00DD5FEC">
        <w:rPr>
          <w:rFonts w:ascii="Times New Roman" w:hAnsi="Times New Roman"/>
          <w:sz w:val="22"/>
          <w:szCs w:val="22"/>
        </w:rPr>
        <w:t xml:space="preserve"> as part of its fee rates, as defined above. Its use is governed by the provisions in the </w:t>
      </w:r>
      <w:r w:rsidR="00F757F3" w:rsidRPr="00DD5FEC">
        <w:rPr>
          <w:rFonts w:ascii="Times New Roman" w:hAnsi="Times New Roman"/>
          <w:sz w:val="22"/>
          <w:szCs w:val="22"/>
        </w:rPr>
        <w:t>g</w:t>
      </w:r>
      <w:r w:rsidRPr="00DD5FEC">
        <w:rPr>
          <w:rFonts w:ascii="Times New Roman" w:hAnsi="Times New Roman"/>
          <w:sz w:val="22"/>
          <w:szCs w:val="22"/>
        </w:rPr>
        <w:t xml:space="preserve">eneral </w:t>
      </w:r>
      <w:r w:rsidR="00F757F3" w:rsidRPr="00DD5FEC">
        <w:rPr>
          <w:rFonts w:ascii="Times New Roman" w:hAnsi="Times New Roman"/>
          <w:sz w:val="22"/>
          <w:szCs w:val="22"/>
        </w:rPr>
        <w:t>c</w:t>
      </w:r>
      <w:r w:rsidRPr="00DD5FEC">
        <w:rPr>
          <w:rFonts w:ascii="Times New Roman" w:hAnsi="Times New Roman"/>
          <w:sz w:val="22"/>
          <w:szCs w:val="22"/>
        </w:rPr>
        <w:t xml:space="preserve">onditions and the notes in Annex V to the </w:t>
      </w:r>
      <w:r w:rsidR="00F757F3" w:rsidRPr="00DD5FEC">
        <w:rPr>
          <w:rFonts w:ascii="Times New Roman" w:hAnsi="Times New Roman"/>
          <w:sz w:val="22"/>
          <w:szCs w:val="22"/>
        </w:rPr>
        <w:t>c</w:t>
      </w:r>
      <w:r w:rsidRPr="00DD5FEC">
        <w:rPr>
          <w:rFonts w:ascii="Times New Roman" w:hAnsi="Times New Roman"/>
          <w:sz w:val="22"/>
          <w:szCs w:val="22"/>
        </w:rPr>
        <w:t>ontract. It covers:</w:t>
      </w:r>
    </w:p>
    <w:p w14:paraId="0EACD261" w14:textId="77777777" w:rsidR="008D1915" w:rsidRPr="00DD5FEC" w:rsidRDefault="00BB1BED" w:rsidP="008409FC">
      <w:pPr>
        <w:pStyle w:val="ListBullet"/>
        <w:numPr>
          <w:ilvl w:val="0"/>
          <w:numId w:val="5"/>
        </w:numPr>
        <w:rPr>
          <w:sz w:val="22"/>
          <w:szCs w:val="22"/>
        </w:rPr>
      </w:pPr>
      <w:r w:rsidRPr="00DD5FEC">
        <w:rPr>
          <w:sz w:val="22"/>
          <w:szCs w:val="22"/>
        </w:rPr>
        <w:t>Travel costs and subsistence allowances for missions, outside the normal place of posting, undertaken as part of this contract. If applicable, indicate whether the provision includes costs for environmental measures, for example C</w:t>
      </w:r>
      <w:r w:rsidR="00AB6A51" w:rsidRPr="00DD5FEC">
        <w:rPr>
          <w:sz w:val="22"/>
          <w:szCs w:val="22"/>
        </w:rPr>
        <w:t>O</w:t>
      </w:r>
      <w:r w:rsidRPr="00DD5FEC">
        <w:rPr>
          <w:rFonts w:ascii="Times" w:hAnsi="Times"/>
          <w:sz w:val="22"/>
          <w:szCs w:val="22"/>
          <w:vertAlign w:val="subscript"/>
        </w:rPr>
        <w:t>2</w:t>
      </w:r>
      <w:r w:rsidRPr="00DD5FEC">
        <w:rPr>
          <w:sz w:val="22"/>
          <w:szCs w:val="22"/>
        </w:rPr>
        <w:t xml:space="preserve"> offsetting. </w:t>
      </w:r>
    </w:p>
    <w:p w14:paraId="167A8176" w14:textId="06D11D0B" w:rsidR="009D0649" w:rsidRPr="00B47CA5" w:rsidRDefault="009D0649" w:rsidP="00B47CA5">
      <w:pPr>
        <w:pStyle w:val="ListBullet"/>
        <w:numPr>
          <w:ilvl w:val="0"/>
          <w:numId w:val="5"/>
        </w:numPr>
        <w:rPr>
          <w:sz w:val="22"/>
          <w:szCs w:val="22"/>
        </w:rPr>
      </w:pPr>
      <w:r w:rsidRPr="00B47CA5">
        <w:rPr>
          <w:sz w:val="22"/>
          <w:szCs w:val="22"/>
        </w:rPr>
        <w:t>Exceptional costs related to the organisation of workshops, trainings, seminars, public hearings and consultations outside government facilities and other communication events, includi</w:t>
      </w:r>
      <w:r w:rsidR="00B47CA5">
        <w:rPr>
          <w:sz w:val="22"/>
          <w:szCs w:val="22"/>
        </w:rPr>
        <w:t>ng the costs for interpretation.</w:t>
      </w:r>
      <w:r w:rsidRPr="00B47CA5">
        <w:rPr>
          <w:sz w:val="22"/>
          <w:szCs w:val="22"/>
        </w:rPr>
        <w:t xml:space="preserve"> </w:t>
      </w:r>
      <w:r w:rsidR="00B47CA5" w:rsidRPr="00B47CA5">
        <w:rPr>
          <w:sz w:val="22"/>
          <w:szCs w:val="22"/>
        </w:rPr>
        <w:t>Prior authorisation by the contracting authority for the use of the incidental expenditure is needed</w:t>
      </w:r>
      <w:r w:rsidRPr="00B47CA5">
        <w:rPr>
          <w:sz w:val="22"/>
          <w:szCs w:val="22"/>
        </w:rPr>
        <w:t>;</w:t>
      </w:r>
    </w:p>
    <w:p w14:paraId="74C5525F" w14:textId="77777777" w:rsidR="009D0649" w:rsidRPr="00DD5FEC" w:rsidRDefault="009D0649" w:rsidP="00030592">
      <w:pPr>
        <w:pStyle w:val="ListBullet"/>
        <w:numPr>
          <w:ilvl w:val="0"/>
          <w:numId w:val="5"/>
        </w:numPr>
        <w:rPr>
          <w:sz w:val="22"/>
          <w:szCs w:val="22"/>
        </w:rPr>
      </w:pPr>
      <w:r w:rsidRPr="00DD5FEC">
        <w:rPr>
          <w:sz w:val="22"/>
          <w:szCs w:val="22"/>
        </w:rPr>
        <w:t>Printing necessary documents and materials;</w:t>
      </w:r>
    </w:p>
    <w:p w14:paraId="25306234" w14:textId="4DB9193A" w:rsidR="00BB1BED" w:rsidRPr="00DD5FEC" w:rsidRDefault="00BB1BED" w:rsidP="00BB1BED">
      <w:pPr>
        <w:rPr>
          <w:rFonts w:ascii="Times New Roman" w:hAnsi="Times New Roman"/>
          <w:b/>
          <w:sz w:val="22"/>
          <w:szCs w:val="22"/>
        </w:rPr>
      </w:pPr>
      <w:r w:rsidRPr="00DD5FEC">
        <w:rPr>
          <w:rFonts w:ascii="Times New Roman" w:hAnsi="Times New Roman"/>
          <w:sz w:val="22"/>
          <w:szCs w:val="22"/>
        </w:rPr>
        <w:t xml:space="preserve">The </w:t>
      </w:r>
      <w:r w:rsidR="00A50D0F" w:rsidRPr="00DD5FEC">
        <w:rPr>
          <w:rFonts w:ascii="Times New Roman" w:hAnsi="Times New Roman"/>
          <w:sz w:val="22"/>
          <w:szCs w:val="22"/>
        </w:rPr>
        <w:t xml:space="preserve">provision </w:t>
      </w:r>
      <w:r w:rsidRPr="00DD5FEC">
        <w:rPr>
          <w:rFonts w:ascii="Times New Roman" w:hAnsi="Times New Roman"/>
          <w:sz w:val="22"/>
          <w:szCs w:val="22"/>
        </w:rPr>
        <w:t>for incidental expenditure for this contract is</w:t>
      </w:r>
      <w:r w:rsidR="002600D6" w:rsidRPr="00DD5FEC">
        <w:rPr>
          <w:rFonts w:ascii="Times New Roman" w:hAnsi="Times New Roman"/>
          <w:sz w:val="22"/>
          <w:szCs w:val="22"/>
        </w:rPr>
        <w:t xml:space="preserve"> </w:t>
      </w:r>
      <w:r w:rsidRPr="00DD5FEC">
        <w:rPr>
          <w:rFonts w:ascii="Times New Roman" w:hAnsi="Times New Roman"/>
          <w:b/>
          <w:sz w:val="22"/>
          <w:szCs w:val="22"/>
        </w:rPr>
        <w:t>EUR</w:t>
      </w:r>
      <w:r w:rsidR="002600D6" w:rsidRPr="00DD5FEC">
        <w:rPr>
          <w:rFonts w:ascii="Times New Roman" w:hAnsi="Times New Roman"/>
          <w:b/>
          <w:sz w:val="22"/>
          <w:szCs w:val="22"/>
        </w:rPr>
        <w:t xml:space="preserve"> </w:t>
      </w:r>
      <w:r w:rsidR="009D0649" w:rsidRPr="00DD5FEC">
        <w:rPr>
          <w:rFonts w:ascii="Times New Roman" w:hAnsi="Times New Roman"/>
          <w:b/>
          <w:sz w:val="22"/>
          <w:szCs w:val="22"/>
        </w:rPr>
        <w:t>70,000</w:t>
      </w:r>
      <w:r w:rsidRPr="00DD5FEC">
        <w:rPr>
          <w:rFonts w:ascii="Times New Roman" w:hAnsi="Times New Roman"/>
          <w:sz w:val="22"/>
          <w:szCs w:val="22"/>
        </w:rPr>
        <w:t xml:space="preserve"> This amount must be included unchanged in the </w:t>
      </w:r>
      <w:r w:rsidR="00F757F3" w:rsidRPr="00DD5FEC">
        <w:rPr>
          <w:rFonts w:ascii="Times New Roman" w:hAnsi="Times New Roman"/>
          <w:sz w:val="22"/>
          <w:szCs w:val="22"/>
        </w:rPr>
        <w:t>b</w:t>
      </w:r>
      <w:r w:rsidRPr="00DD5FEC">
        <w:rPr>
          <w:rFonts w:ascii="Times New Roman" w:hAnsi="Times New Roman"/>
          <w:sz w:val="22"/>
          <w:szCs w:val="22"/>
        </w:rPr>
        <w:t xml:space="preserve">udget breakdown. </w:t>
      </w:r>
    </w:p>
    <w:p w14:paraId="4C342FF8" w14:textId="77777777" w:rsidR="0077155A" w:rsidRPr="00DD5FEC" w:rsidRDefault="0077155A" w:rsidP="00125D86">
      <w:pPr>
        <w:rPr>
          <w:rFonts w:ascii="TimesNewRoman" w:hAnsi="TimesNewRoman" w:cs="TimesNewRoman"/>
          <w:sz w:val="22"/>
          <w:szCs w:val="22"/>
        </w:rPr>
      </w:pPr>
      <w:r w:rsidRPr="00DD5FEC">
        <w:rPr>
          <w:rFonts w:ascii="TimesNewRoman" w:hAnsi="TimesNewRoman" w:cs="TimesNewRoman"/>
          <w:sz w:val="22"/>
          <w:szCs w:val="22"/>
        </w:rPr>
        <w:t xml:space="preserve">Per diem are daily subsistence allowances that may be reimbursed for missions foreseen in these terms of reference or approved by the Contracting Authority, carried out by the contractor’s authorised experts outside the expert's normal place of posting. The per diem is a maximum fixed flat-rate covering daily subsistence costs. These include accommodation, meals, tips and local travel, including travel to and from the airport. Taxi fares are therefore covered by the per diem. Per diem are payable on the basis of the number of hours spent on the mission. Per diem may only be paid in full or in half (no other fractions are possible). A full per diem shall be paid for each 24-hour period spent on mission. Half of a per diem shall be paid in case of a period of at least 12 hours but less than 24 hours spent on mission.  No per diem should be paid for missions of less than 12 hours. Travelling time is to be regarded as part of the mission. Any subsistence allowances to be paid for missions undertaken as part of this contract must not exceed the per diem rates published on the website - </w:t>
      </w:r>
      <w:hyperlink r:id="rId8" w:history="1">
        <w:r w:rsidRPr="00DD5FEC">
          <w:rPr>
            <w:rFonts w:ascii="TimesNewRoman" w:hAnsi="TimesNewRoman" w:cs="TimesNewRoman"/>
            <w:sz w:val="22"/>
            <w:szCs w:val="22"/>
          </w:rPr>
          <w:t>http://ec.europa.eu/europeaid/funding/about-calls-tender/procedures-and-practical-guide-prag/diems_en</w:t>
        </w:r>
      </w:hyperlink>
      <w:r w:rsidRPr="00DD5FEC">
        <w:rPr>
          <w:rFonts w:ascii="TimesNewRoman" w:hAnsi="TimesNewRoman" w:cs="TimesNewRoman"/>
          <w:sz w:val="22"/>
          <w:szCs w:val="22"/>
        </w:rPr>
        <w:t xml:space="preserve"> - in force at the time of contract signature. </w:t>
      </w:r>
    </w:p>
    <w:p w14:paraId="557F603D" w14:textId="77777777" w:rsidR="00A06F5A" w:rsidRPr="00DD5FEC" w:rsidRDefault="00A06F5A" w:rsidP="00902737">
      <w:pPr>
        <w:autoSpaceDE w:val="0"/>
        <w:autoSpaceDN w:val="0"/>
        <w:adjustRightInd w:val="0"/>
        <w:rPr>
          <w:rFonts w:ascii="TimesNewRoman" w:hAnsi="TimesNewRoman" w:cs="TimesNewRoman"/>
          <w:sz w:val="22"/>
          <w:szCs w:val="22"/>
        </w:rPr>
      </w:pPr>
      <w:r w:rsidRPr="00DD5FEC">
        <w:rPr>
          <w:rFonts w:ascii="TimesNewRoman" w:hAnsi="TimesNewRoman" w:cs="TimesNewRoman"/>
          <w:sz w:val="22"/>
          <w:szCs w:val="22"/>
        </w:rPr>
        <w:t xml:space="preserve">The </w:t>
      </w:r>
      <w:r w:rsidR="00F757F3" w:rsidRPr="00DD5FEC">
        <w:rPr>
          <w:rFonts w:ascii="TimesNewRoman" w:hAnsi="TimesNewRoman" w:cs="TimesNewRoman"/>
          <w:sz w:val="22"/>
          <w:szCs w:val="22"/>
        </w:rPr>
        <w:t>c</w:t>
      </w:r>
      <w:r w:rsidRPr="00DD5FEC">
        <w:rPr>
          <w:rFonts w:ascii="TimesNewRoman" w:hAnsi="TimesNewRoman" w:cs="TimesNewRoman"/>
          <w:sz w:val="22"/>
          <w:szCs w:val="22"/>
        </w:rPr>
        <w:t xml:space="preserve">ontracting </w:t>
      </w:r>
      <w:r w:rsidR="00F757F3" w:rsidRPr="00DD5FEC">
        <w:rPr>
          <w:rFonts w:ascii="TimesNewRoman" w:hAnsi="TimesNewRoman" w:cs="TimesNewRoman"/>
          <w:sz w:val="22"/>
          <w:szCs w:val="22"/>
        </w:rPr>
        <w:t>a</w:t>
      </w:r>
      <w:r w:rsidRPr="00DD5FEC">
        <w:rPr>
          <w:rFonts w:ascii="TimesNewRoman" w:hAnsi="TimesNewRoman" w:cs="TimesNewRoman"/>
          <w:sz w:val="22"/>
          <w:szCs w:val="22"/>
        </w:rPr>
        <w:t>uthority reserves the right to reject payment of per diem for time spent travelling if the most direct route and the most economical fare criteria have not been applied.</w:t>
      </w:r>
    </w:p>
    <w:p w14:paraId="7DC1DFB1" w14:textId="0A511532" w:rsidR="007230D6" w:rsidRPr="00DD5FEC" w:rsidRDefault="00FE6A96" w:rsidP="00030592">
      <w:pPr>
        <w:rPr>
          <w:rFonts w:ascii="Times New Roman" w:hAnsi="Times New Roman"/>
          <w:sz w:val="22"/>
          <w:szCs w:val="22"/>
          <w:shd w:val="clear" w:color="auto" w:fill="FFFF00"/>
        </w:rPr>
      </w:pPr>
      <w:r w:rsidRPr="00DD5FEC">
        <w:rPr>
          <w:rFonts w:ascii="Times New Roman" w:hAnsi="Times New Roman"/>
          <w:sz w:val="22"/>
          <w:szCs w:val="22"/>
        </w:rPr>
        <w:t xml:space="preserve">Prior </w:t>
      </w:r>
      <w:r w:rsidR="00905B31" w:rsidRPr="00DD5FEC">
        <w:rPr>
          <w:rFonts w:ascii="Times New Roman" w:hAnsi="Times New Roman"/>
          <w:sz w:val="22"/>
          <w:szCs w:val="22"/>
        </w:rPr>
        <w:t xml:space="preserve">authorisation </w:t>
      </w:r>
      <w:r w:rsidRPr="00DD5FEC">
        <w:rPr>
          <w:rFonts w:ascii="Times New Roman" w:hAnsi="Times New Roman"/>
          <w:sz w:val="22"/>
          <w:szCs w:val="22"/>
        </w:rPr>
        <w:t xml:space="preserve">by the </w:t>
      </w:r>
      <w:r w:rsidR="00F757F3" w:rsidRPr="00DD5FEC">
        <w:rPr>
          <w:rFonts w:ascii="Times New Roman" w:hAnsi="Times New Roman"/>
          <w:sz w:val="22"/>
          <w:szCs w:val="22"/>
        </w:rPr>
        <w:t>c</w:t>
      </w:r>
      <w:r w:rsidRPr="00DD5FEC">
        <w:rPr>
          <w:rFonts w:ascii="Times New Roman" w:hAnsi="Times New Roman"/>
          <w:sz w:val="22"/>
          <w:szCs w:val="22"/>
        </w:rPr>
        <w:t xml:space="preserve">ontracting </w:t>
      </w:r>
      <w:r w:rsidR="00F757F3" w:rsidRPr="00DD5FEC">
        <w:rPr>
          <w:rFonts w:ascii="Times New Roman" w:hAnsi="Times New Roman"/>
          <w:sz w:val="22"/>
          <w:szCs w:val="22"/>
        </w:rPr>
        <w:t>a</w:t>
      </w:r>
      <w:r w:rsidRPr="00DD5FEC">
        <w:rPr>
          <w:rFonts w:ascii="Times New Roman" w:hAnsi="Times New Roman"/>
          <w:sz w:val="22"/>
          <w:szCs w:val="22"/>
        </w:rPr>
        <w:t>uthority for the use of the incidental expenditure is not needed</w:t>
      </w:r>
      <w:r w:rsidR="009D0649" w:rsidRPr="00DD5FEC">
        <w:rPr>
          <w:rFonts w:ascii="Times New Roman" w:hAnsi="Times New Roman"/>
          <w:sz w:val="22"/>
          <w:szCs w:val="22"/>
        </w:rPr>
        <w:t>.</w:t>
      </w:r>
      <w:r w:rsidRPr="00DD5FEC">
        <w:rPr>
          <w:rFonts w:ascii="Times New Roman" w:hAnsi="Times New Roman"/>
          <w:sz w:val="22"/>
          <w:szCs w:val="22"/>
        </w:rPr>
        <w:t xml:space="preserve"> </w:t>
      </w:r>
    </w:p>
    <w:p w14:paraId="11AF84C9" w14:textId="3AF09058" w:rsidR="00385CF3" w:rsidRPr="00DD5FEC" w:rsidRDefault="00385CF3" w:rsidP="00150137">
      <w:pPr>
        <w:pStyle w:val="Heading2"/>
        <w:rPr>
          <w:sz w:val="22"/>
          <w:szCs w:val="22"/>
        </w:rPr>
      </w:pPr>
      <w:bookmarkStart w:id="35" w:name="_Toc438131788"/>
      <w:r w:rsidRPr="00DD5FEC">
        <w:rPr>
          <w:sz w:val="22"/>
          <w:szCs w:val="22"/>
        </w:rPr>
        <w:lastRenderedPageBreak/>
        <w:t>Lump sums</w:t>
      </w:r>
      <w:bookmarkEnd w:id="35"/>
    </w:p>
    <w:p w14:paraId="4A16B10C" w14:textId="53EF8E9B" w:rsidR="00383EB5" w:rsidRPr="00DD5FEC" w:rsidRDefault="00383EB5" w:rsidP="006E2226">
      <w:pPr>
        <w:rPr>
          <w:rFonts w:ascii="Times New Roman" w:hAnsi="Times New Roman"/>
          <w:sz w:val="22"/>
          <w:szCs w:val="22"/>
        </w:rPr>
      </w:pPr>
      <w:r w:rsidRPr="00DD5FEC">
        <w:rPr>
          <w:rFonts w:ascii="Times New Roman" w:hAnsi="Times New Roman"/>
          <w:sz w:val="22"/>
          <w:szCs w:val="22"/>
        </w:rPr>
        <w:t>No lump sums are foreseen in this contract.</w:t>
      </w:r>
    </w:p>
    <w:p w14:paraId="6392F658" w14:textId="77777777" w:rsidR="00BB1BED" w:rsidRPr="00DD5FEC" w:rsidRDefault="00BB1BED" w:rsidP="00150137">
      <w:pPr>
        <w:pStyle w:val="Heading2"/>
        <w:rPr>
          <w:sz w:val="22"/>
          <w:szCs w:val="22"/>
        </w:rPr>
      </w:pPr>
      <w:bookmarkStart w:id="36" w:name="_Toc438131789"/>
      <w:r w:rsidRPr="00DD5FEC">
        <w:rPr>
          <w:sz w:val="22"/>
          <w:szCs w:val="22"/>
        </w:rPr>
        <w:t>Expenditure verification</w:t>
      </w:r>
      <w:bookmarkEnd w:id="36"/>
    </w:p>
    <w:p w14:paraId="180177C5" w14:textId="00D8D3E2" w:rsidR="00BB1BED" w:rsidRPr="00DD5FEC" w:rsidRDefault="00BB1BED" w:rsidP="00BB1BED">
      <w:pPr>
        <w:rPr>
          <w:rFonts w:ascii="Times New Roman" w:hAnsi="Times New Roman"/>
          <w:b/>
          <w:sz w:val="22"/>
          <w:szCs w:val="22"/>
        </w:rPr>
      </w:pPr>
      <w:r w:rsidRPr="00DD5FEC">
        <w:rPr>
          <w:rFonts w:ascii="Times New Roman" w:hAnsi="Times New Roman"/>
          <w:sz w:val="22"/>
          <w:szCs w:val="22"/>
        </w:rPr>
        <w:t xml:space="preserve">The provision for expenditure verification covers the fees of the auditor </w:t>
      </w:r>
      <w:r w:rsidR="00E22FAF" w:rsidRPr="00DD5FEC">
        <w:rPr>
          <w:rFonts w:ascii="Times New Roman" w:hAnsi="Times New Roman"/>
          <w:sz w:val="22"/>
          <w:szCs w:val="22"/>
        </w:rPr>
        <w:t xml:space="preserve">in </w:t>
      </w:r>
      <w:r w:rsidRPr="00DD5FEC">
        <w:rPr>
          <w:rFonts w:ascii="Times New Roman" w:hAnsi="Times New Roman"/>
          <w:sz w:val="22"/>
          <w:szCs w:val="22"/>
        </w:rPr>
        <w:t>charge</w:t>
      </w:r>
      <w:r w:rsidR="00E22FAF" w:rsidRPr="00DD5FEC">
        <w:rPr>
          <w:rFonts w:ascii="Times New Roman" w:hAnsi="Times New Roman"/>
          <w:sz w:val="22"/>
          <w:szCs w:val="22"/>
        </w:rPr>
        <w:t xml:space="preserve"> of</w:t>
      </w:r>
      <w:r w:rsidRPr="00DD5FEC">
        <w:rPr>
          <w:rFonts w:ascii="Times New Roman" w:hAnsi="Times New Roman"/>
          <w:sz w:val="22"/>
          <w:szCs w:val="22"/>
        </w:rPr>
        <w:t xml:space="preserve"> verifying the expenditure of this contract in order </w:t>
      </w:r>
      <w:r w:rsidR="00E22FAF" w:rsidRPr="00DD5FEC">
        <w:rPr>
          <w:rFonts w:ascii="Times New Roman" w:hAnsi="Times New Roman"/>
          <w:sz w:val="22"/>
          <w:szCs w:val="22"/>
        </w:rPr>
        <w:t xml:space="preserve">for the contracting authority to </w:t>
      </w:r>
      <w:r w:rsidR="00DD10FE" w:rsidRPr="00DD5FEC">
        <w:rPr>
          <w:rFonts w:ascii="Times New Roman" w:hAnsi="Times New Roman"/>
          <w:sz w:val="22"/>
          <w:szCs w:val="22"/>
        </w:rPr>
        <w:t xml:space="preserve">check </w:t>
      </w:r>
      <w:r w:rsidR="00E22FAF" w:rsidRPr="00DD5FEC">
        <w:rPr>
          <w:rFonts w:ascii="Times New Roman" w:hAnsi="Times New Roman"/>
          <w:sz w:val="22"/>
          <w:szCs w:val="22"/>
        </w:rPr>
        <w:t>that the invoice</w:t>
      </w:r>
      <w:r w:rsidR="00DD10FE" w:rsidRPr="00DD5FEC">
        <w:rPr>
          <w:rFonts w:ascii="Times New Roman" w:hAnsi="Times New Roman"/>
          <w:sz w:val="22"/>
          <w:szCs w:val="22"/>
        </w:rPr>
        <w:t>s</w:t>
      </w:r>
      <w:r w:rsidR="00E22FAF" w:rsidRPr="00DD5FEC">
        <w:rPr>
          <w:rFonts w:ascii="Times New Roman" w:hAnsi="Times New Roman"/>
          <w:sz w:val="22"/>
          <w:szCs w:val="22"/>
        </w:rPr>
        <w:t xml:space="preserve"> </w:t>
      </w:r>
      <w:r w:rsidR="005A22A6" w:rsidRPr="00DD5FEC">
        <w:rPr>
          <w:rFonts w:ascii="Times New Roman" w:hAnsi="Times New Roman"/>
          <w:sz w:val="22"/>
          <w:szCs w:val="22"/>
        </w:rPr>
        <w:t>submitted</w:t>
      </w:r>
      <w:r w:rsidR="00DD10FE" w:rsidRPr="00DD5FEC">
        <w:rPr>
          <w:rFonts w:ascii="Times New Roman" w:hAnsi="Times New Roman"/>
          <w:sz w:val="22"/>
          <w:szCs w:val="22"/>
        </w:rPr>
        <w:t xml:space="preserve"> are</w:t>
      </w:r>
      <w:r w:rsidR="00E22FAF" w:rsidRPr="00DD5FEC">
        <w:rPr>
          <w:rFonts w:ascii="Times New Roman" w:hAnsi="Times New Roman"/>
          <w:sz w:val="22"/>
          <w:szCs w:val="22"/>
        </w:rPr>
        <w:t xml:space="preserve"> due.</w:t>
      </w:r>
      <w:r w:rsidR="008A1F78" w:rsidRPr="00DD5FEC">
        <w:rPr>
          <w:rFonts w:ascii="Times New Roman" w:hAnsi="Times New Roman"/>
          <w:sz w:val="22"/>
          <w:szCs w:val="22"/>
        </w:rPr>
        <w:t xml:space="preserve"> </w:t>
      </w:r>
      <w:r w:rsidRPr="00DD5FEC">
        <w:rPr>
          <w:rFonts w:ascii="Times New Roman" w:hAnsi="Times New Roman"/>
          <w:sz w:val="22"/>
          <w:szCs w:val="22"/>
        </w:rPr>
        <w:t>The provision for expenditure verification for this contract is</w:t>
      </w:r>
      <w:r w:rsidR="009D0649" w:rsidRPr="00DD5FEC">
        <w:rPr>
          <w:rFonts w:ascii="Times New Roman" w:hAnsi="Times New Roman"/>
          <w:sz w:val="22"/>
          <w:szCs w:val="22"/>
        </w:rPr>
        <w:t xml:space="preserve"> </w:t>
      </w:r>
      <w:r w:rsidRPr="00DD5FEC">
        <w:rPr>
          <w:rFonts w:ascii="Times New Roman" w:hAnsi="Times New Roman"/>
          <w:b/>
          <w:sz w:val="22"/>
          <w:szCs w:val="22"/>
        </w:rPr>
        <w:t>EUR</w:t>
      </w:r>
      <w:r w:rsidR="009D0649" w:rsidRPr="00DD5FEC">
        <w:rPr>
          <w:rFonts w:ascii="Times New Roman" w:hAnsi="Times New Roman"/>
          <w:b/>
          <w:sz w:val="22"/>
          <w:szCs w:val="22"/>
        </w:rPr>
        <w:t xml:space="preserve"> 10,000</w:t>
      </w:r>
      <w:r w:rsidR="00EE7956" w:rsidRPr="00DD5FEC">
        <w:rPr>
          <w:rFonts w:ascii="Times New Roman" w:hAnsi="Times New Roman"/>
          <w:sz w:val="22"/>
          <w:szCs w:val="22"/>
        </w:rPr>
        <w:t xml:space="preserve"> </w:t>
      </w:r>
      <w:r w:rsidRPr="00DD5FEC">
        <w:rPr>
          <w:rFonts w:ascii="Times New Roman" w:hAnsi="Times New Roman"/>
          <w:sz w:val="22"/>
          <w:szCs w:val="22"/>
        </w:rPr>
        <w:t xml:space="preserve">This amount must be included unchanged in the </w:t>
      </w:r>
      <w:r w:rsidR="00EC795C" w:rsidRPr="00DD5FEC">
        <w:rPr>
          <w:rFonts w:ascii="Times New Roman" w:hAnsi="Times New Roman"/>
          <w:sz w:val="22"/>
          <w:szCs w:val="22"/>
        </w:rPr>
        <w:t>b</w:t>
      </w:r>
      <w:r w:rsidRPr="00DD5FEC">
        <w:rPr>
          <w:rFonts w:ascii="Times New Roman" w:hAnsi="Times New Roman"/>
          <w:sz w:val="22"/>
          <w:szCs w:val="22"/>
        </w:rPr>
        <w:t xml:space="preserve">udget breakdown. </w:t>
      </w:r>
    </w:p>
    <w:p w14:paraId="0B5C8654" w14:textId="77777777" w:rsidR="00707F71" w:rsidRPr="00DD5FEC" w:rsidRDefault="00BB1BED" w:rsidP="00BB1BED">
      <w:pPr>
        <w:rPr>
          <w:rFonts w:ascii="Times New Roman" w:hAnsi="Times New Roman"/>
          <w:sz w:val="22"/>
          <w:szCs w:val="22"/>
        </w:rPr>
      </w:pPr>
      <w:bookmarkStart w:id="37" w:name="_Toc110336377"/>
      <w:bookmarkStart w:id="38" w:name="_Toc117329912"/>
      <w:r w:rsidRPr="00DD5FEC">
        <w:rPr>
          <w:rFonts w:ascii="Times New Roman" w:hAnsi="Times New Roman"/>
          <w:sz w:val="22"/>
          <w:szCs w:val="22"/>
        </w:rPr>
        <w:t>This provision cannot be decreased but can be increased during execution of the contract.</w:t>
      </w:r>
      <w:bookmarkEnd w:id="37"/>
      <w:bookmarkEnd w:id="38"/>
    </w:p>
    <w:p w14:paraId="7799FC1C" w14:textId="77777777" w:rsidR="00BB1BED" w:rsidRPr="00287A5B" w:rsidRDefault="00BB1BED" w:rsidP="00BB1BED">
      <w:pPr>
        <w:pStyle w:val="Heading1"/>
      </w:pPr>
      <w:bookmarkStart w:id="39" w:name="_Toc438131790"/>
      <w:r w:rsidRPr="00287A5B">
        <w:t>REPORTS</w:t>
      </w:r>
      <w:bookmarkEnd w:id="39"/>
    </w:p>
    <w:p w14:paraId="6969B5D5" w14:textId="77777777" w:rsidR="00BB1BED" w:rsidRPr="00DD5FEC" w:rsidRDefault="00BB1BED" w:rsidP="00150137">
      <w:pPr>
        <w:pStyle w:val="Heading2"/>
        <w:rPr>
          <w:sz w:val="22"/>
          <w:szCs w:val="22"/>
        </w:rPr>
      </w:pPr>
      <w:bookmarkStart w:id="40" w:name="_Ref20555417"/>
      <w:bookmarkStart w:id="41" w:name="_Ref20656720"/>
      <w:bookmarkStart w:id="42" w:name="_Toc438131791"/>
      <w:r w:rsidRPr="00DD5FEC">
        <w:rPr>
          <w:sz w:val="22"/>
          <w:szCs w:val="22"/>
        </w:rPr>
        <w:t>Reporting requirements</w:t>
      </w:r>
      <w:bookmarkEnd w:id="40"/>
      <w:bookmarkEnd w:id="41"/>
      <w:bookmarkEnd w:id="42"/>
    </w:p>
    <w:p w14:paraId="1771895E" w14:textId="4775D9C2" w:rsidR="00BB1BED" w:rsidRPr="00DD5FEC" w:rsidRDefault="00BB1BED" w:rsidP="00BB1BED">
      <w:pPr>
        <w:rPr>
          <w:rFonts w:ascii="Times New Roman" w:hAnsi="Times New Roman"/>
          <w:sz w:val="22"/>
          <w:szCs w:val="22"/>
        </w:rPr>
      </w:pPr>
      <w:r w:rsidRPr="00DD5FEC">
        <w:rPr>
          <w:rFonts w:ascii="Times New Roman" w:hAnsi="Times New Roman"/>
          <w:sz w:val="22"/>
          <w:szCs w:val="22"/>
        </w:rPr>
        <w:t xml:space="preserve">Please see Article 26 of the </w:t>
      </w:r>
      <w:r w:rsidR="00EC795C" w:rsidRPr="00DD5FEC">
        <w:rPr>
          <w:rFonts w:ascii="Times New Roman" w:hAnsi="Times New Roman"/>
          <w:sz w:val="22"/>
          <w:szCs w:val="22"/>
        </w:rPr>
        <w:t>g</w:t>
      </w:r>
      <w:r w:rsidRPr="00DD5FEC">
        <w:rPr>
          <w:rFonts w:ascii="Times New Roman" w:hAnsi="Times New Roman"/>
          <w:sz w:val="22"/>
          <w:szCs w:val="22"/>
        </w:rPr>
        <w:t xml:space="preserve">eneral </w:t>
      </w:r>
      <w:r w:rsidR="00EC795C" w:rsidRPr="00DD5FEC">
        <w:rPr>
          <w:rFonts w:ascii="Times New Roman" w:hAnsi="Times New Roman"/>
          <w:sz w:val="22"/>
          <w:szCs w:val="22"/>
        </w:rPr>
        <w:t>c</w:t>
      </w:r>
      <w:r w:rsidRPr="00DD5FEC">
        <w:rPr>
          <w:rFonts w:ascii="Times New Roman" w:hAnsi="Times New Roman"/>
          <w:sz w:val="22"/>
          <w:szCs w:val="22"/>
        </w:rPr>
        <w:t xml:space="preserve">onditions. Interim reports must be prepared every six months during the period of implementation of the tasks. </w:t>
      </w:r>
      <w:r w:rsidR="00D7797F" w:rsidRPr="00DD5FEC">
        <w:rPr>
          <w:rFonts w:ascii="Times New Roman" w:hAnsi="Times New Roman"/>
          <w:sz w:val="22"/>
          <w:szCs w:val="22"/>
        </w:rPr>
        <w:t xml:space="preserve">The narrative report should be based on the monitoring and evaluation system set up in the contract, using the Logical framework matrix (annex b8g) if included in the contract. In the latter case, a narrative report must inform all the results as measured by the indicators defined in the logical </w:t>
      </w:r>
      <w:r w:rsidR="00EF1952" w:rsidRPr="00DD5FEC">
        <w:rPr>
          <w:rFonts w:ascii="Times New Roman" w:hAnsi="Times New Roman"/>
          <w:sz w:val="22"/>
          <w:szCs w:val="22"/>
        </w:rPr>
        <w:t>framework. The narrative report</w:t>
      </w:r>
      <w:r w:rsidRPr="00DD5FEC">
        <w:rPr>
          <w:rFonts w:ascii="Times New Roman" w:hAnsi="Times New Roman"/>
          <w:sz w:val="22"/>
          <w:szCs w:val="22"/>
        </w:rPr>
        <w:t xml:space="preserve"> must be provided along with the corresponding invoice, the financial report and an expenditure verification report defined in Article 28 of the </w:t>
      </w:r>
      <w:r w:rsidR="00EC795C" w:rsidRPr="00DD5FEC">
        <w:rPr>
          <w:rFonts w:ascii="Times New Roman" w:hAnsi="Times New Roman"/>
          <w:sz w:val="22"/>
          <w:szCs w:val="22"/>
        </w:rPr>
        <w:t>g</w:t>
      </w:r>
      <w:r w:rsidRPr="00DD5FEC">
        <w:rPr>
          <w:rFonts w:ascii="Times New Roman" w:hAnsi="Times New Roman"/>
          <w:sz w:val="22"/>
          <w:szCs w:val="22"/>
        </w:rPr>
        <w:t xml:space="preserve">eneral </w:t>
      </w:r>
      <w:r w:rsidR="00EC795C" w:rsidRPr="00DD5FEC">
        <w:rPr>
          <w:rFonts w:ascii="Times New Roman" w:hAnsi="Times New Roman"/>
          <w:sz w:val="22"/>
          <w:szCs w:val="22"/>
        </w:rPr>
        <w:t>c</w:t>
      </w:r>
      <w:r w:rsidRPr="00DD5FEC">
        <w:rPr>
          <w:rFonts w:ascii="Times New Roman" w:hAnsi="Times New Roman"/>
          <w:sz w:val="22"/>
          <w:szCs w:val="22"/>
        </w:rPr>
        <w:t>onditions.</w:t>
      </w:r>
      <w:r w:rsidR="008D1915" w:rsidRPr="00DD5FEC">
        <w:rPr>
          <w:rFonts w:ascii="Times New Roman" w:hAnsi="Times New Roman"/>
          <w:sz w:val="22"/>
          <w:szCs w:val="22"/>
        </w:rPr>
        <w:t xml:space="preserve"> </w:t>
      </w:r>
      <w:r w:rsidRPr="00DD5FEC">
        <w:rPr>
          <w:rFonts w:ascii="Times New Roman" w:hAnsi="Times New Roman"/>
          <w:sz w:val="22"/>
          <w:szCs w:val="22"/>
        </w:rPr>
        <w:t xml:space="preserve">There must be a final report, a final invoice and the financial report accompanied by an expenditure verification report at the end of the period of implementation of the tasks. The draft final report must be submitted at least one month before the end of the period of implementation of the tasks. Note that these interim and final reports are additional to any required in Section </w:t>
      </w:r>
      <w:r w:rsidRPr="00DD5FEC">
        <w:rPr>
          <w:rFonts w:ascii="Times New Roman" w:hAnsi="Times New Roman"/>
          <w:sz w:val="22"/>
          <w:szCs w:val="22"/>
        </w:rPr>
        <w:fldChar w:fldCharType="begin"/>
      </w:r>
      <w:r w:rsidRPr="00DD5FEC">
        <w:rPr>
          <w:rFonts w:ascii="Times New Roman" w:hAnsi="Times New Roman"/>
          <w:sz w:val="22"/>
          <w:szCs w:val="22"/>
        </w:rPr>
        <w:instrText xml:space="preserve"> REF _Ref20657225 \r \h  \* MERGEFORMAT </w:instrText>
      </w:r>
      <w:r w:rsidRPr="00DD5FEC">
        <w:rPr>
          <w:rFonts w:ascii="Times New Roman" w:hAnsi="Times New Roman"/>
          <w:sz w:val="22"/>
          <w:szCs w:val="22"/>
        </w:rPr>
      </w:r>
      <w:r w:rsidRPr="00DD5FEC">
        <w:rPr>
          <w:rFonts w:ascii="Times New Roman" w:hAnsi="Times New Roman"/>
          <w:sz w:val="22"/>
          <w:szCs w:val="22"/>
        </w:rPr>
        <w:fldChar w:fldCharType="separate"/>
      </w:r>
      <w:r w:rsidR="00561B68" w:rsidRPr="00DD5FEC">
        <w:rPr>
          <w:rFonts w:ascii="Times New Roman" w:hAnsi="Times New Roman"/>
          <w:sz w:val="22"/>
          <w:szCs w:val="22"/>
        </w:rPr>
        <w:t>4.2</w:t>
      </w:r>
      <w:r w:rsidRPr="00DD5FEC">
        <w:rPr>
          <w:rFonts w:ascii="Times New Roman" w:hAnsi="Times New Roman"/>
          <w:sz w:val="22"/>
          <w:szCs w:val="22"/>
        </w:rPr>
        <w:fldChar w:fldCharType="end"/>
      </w:r>
      <w:r w:rsidRPr="00DD5FEC">
        <w:rPr>
          <w:rFonts w:ascii="Times New Roman" w:hAnsi="Times New Roman"/>
          <w:sz w:val="22"/>
          <w:szCs w:val="22"/>
        </w:rPr>
        <w:t xml:space="preserve"> of these </w:t>
      </w:r>
      <w:r w:rsidR="00EC795C" w:rsidRPr="00DD5FEC">
        <w:rPr>
          <w:rFonts w:ascii="Times New Roman" w:hAnsi="Times New Roman"/>
          <w:sz w:val="22"/>
          <w:szCs w:val="22"/>
        </w:rPr>
        <w:t>t</w:t>
      </w:r>
      <w:r w:rsidRPr="00DD5FEC">
        <w:rPr>
          <w:rFonts w:ascii="Times New Roman" w:hAnsi="Times New Roman"/>
          <w:sz w:val="22"/>
          <w:szCs w:val="22"/>
        </w:rPr>
        <w:t xml:space="preserve">erms of </w:t>
      </w:r>
      <w:r w:rsidR="00EC795C" w:rsidRPr="00DD5FEC">
        <w:rPr>
          <w:rFonts w:ascii="Times New Roman" w:hAnsi="Times New Roman"/>
          <w:sz w:val="22"/>
          <w:szCs w:val="22"/>
        </w:rPr>
        <w:t>r</w:t>
      </w:r>
      <w:r w:rsidRPr="00DD5FEC">
        <w:rPr>
          <w:rFonts w:ascii="Times New Roman" w:hAnsi="Times New Roman"/>
          <w:sz w:val="22"/>
          <w:szCs w:val="22"/>
        </w:rPr>
        <w:t>eference.</w:t>
      </w:r>
    </w:p>
    <w:p w14:paraId="79AF9E95" w14:textId="77777777" w:rsidR="00BB1BED" w:rsidRPr="00DD5FEC" w:rsidRDefault="00BB1BED" w:rsidP="00BB1BED">
      <w:pPr>
        <w:rPr>
          <w:rFonts w:ascii="Times New Roman" w:hAnsi="Times New Roman"/>
          <w:sz w:val="22"/>
          <w:szCs w:val="22"/>
        </w:rPr>
      </w:pPr>
      <w:r w:rsidRPr="00DD5FEC">
        <w:rPr>
          <w:rFonts w:ascii="Times New Roman" w:hAnsi="Times New Roman"/>
          <w:sz w:val="22"/>
          <w:szCs w:val="22"/>
        </w:rPr>
        <w:t xml:space="preserve">Each report must consist of a narrative section and a financial section. The financial section must contain details of the time inputs of the experts, incidental expenditure and expenditure verification. </w:t>
      </w:r>
    </w:p>
    <w:p w14:paraId="6163A640" w14:textId="283EC366" w:rsidR="00BB1BED" w:rsidRPr="00DD5FEC" w:rsidRDefault="00BB1BED" w:rsidP="00BB1BED">
      <w:pPr>
        <w:rPr>
          <w:rFonts w:ascii="Times New Roman" w:hAnsi="Times New Roman"/>
          <w:sz w:val="22"/>
          <w:szCs w:val="22"/>
        </w:rPr>
      </w:pPr>
      <w:r w:rsidRPr="00DD5FEC">
        <w:rPr>
          <w:rFonts w:ascii="Times New Roman" w:hAnsi="Times New Roman"/>
          <w:sz w:val="22"/>
          <w:szCs w:val="22"/>
        </w:rPr>
        <w:t xml:space="preserve">To summarise, in addition to any documents, reports and </w:t>
      </w:r>
      <w:r w:rsidR="00D7797F" w:rsidRPr="00DD5FEC">
        <w:rPr>
          <w:rFonts w:ascii="Times New Roman" w:hAnsi="Times New Roman"/>
          <w:sz w:val="22"/>
          <w:szCs w:val="22"/>
        </w:rPr>
        <w:t>deliverable</w:t>
      </w:r>
      <w:r w:rsidRPr="00DD5FEC">
        <w:rPr>
          <w:rFonts w:ascii="Times New Roman" w:hAnsi="Times New Roman"/>
          <w:sz w:val="22"/>
          <w:szCs w:val="22"/>
        </w:rPr>
        <w:t xml:space="preserve"> specified under the duties and responsibilities of each key expert above, the </w:t>
      </w:r>
      <w:r w:rsidR="00EC795C" w:rsidRPr="00DD5FEC">
        <w:rPr>
          <w:rFonts w:ascii="Times New Roman" w:hAnsi="Times New Roman"/>
          <w:sz w:val="22"/>
          <w:szCs w:val="22"/>
        </w:rPr>
        <w:t>c</w:t>
      </w:r>
      <w:r w:rsidR="00732CF8" w:rsidRPr="00DD5FEC">
        <w:rPr>
          <w:rFonts w:ascii="Times New Roman" w:hAnsi="Times New Roman"/>
          <w:sz w:val="22"/>
          <w:szCs w:val="22"/>
        </w:rPr>
        <w:t>ontractor</w:t>
      </w:r>
      <w:r w:rsidRPr="00DD5FEC">
        <w:rPr>
          <w:rFonts w:ascii="Times New Roman" w:hAnsi="Times New Roman"/>
          <w:sz w:val="22"/>
          <w:szCs w:val="22"/>
        </w:rPr>
        <w:t xml:space="preserve"> shall provide the following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945"/>
        <w:gridCol w:w="2934"/>
      </w:tblGrid>
      <w:tr w:rsidR="00BB1BED" w:rsidRPr="00DD5FEC" w14:paraId="42C27A68" w14:textId="77777777" w:rsidTr="002A1E22">
        <w:tc>
          <w:tcPr>
            <w:tcW w:w="3003" w:type="dxa"/>
            <w:shd w:val="clear" w:color="auto" w:fill="auto"/>
          </w:tcPr>
          <w:p w14:paraId="46EDC349" w14:textId="77777777" w:rsidR="00BB1BED" w:rsidRPr="00DD5FEC" w:rsidRDefault="00BB1BED" w:rsidP="00BB1BED">
            <w:pPr>
              <w:jc w:val="center"/>
              <w:rPr>
                <w:rFonts w:ascii="Times New Roman" w:hAnsi="Times New Roman"/>
                <w:b/>
                <w:bCs/>
                <w:sz w:val="22"/>
                <w:szCs w:val="22"/>
              </w:rPr>
            </w:pPr>
            <w:r w:rsidRPr="00DD5FEC">
              <w:rPr>
                <w:rFonts w:ascii="Times New Roman" w:hAnsi="Times New Roman"/>
                <w:b/>
                <w:bCs/>
                <w:sz w:val="22"/>
                <w:szCs w:val="22"/>
              </w:rPr>
              <w:t>Name of report</w:t>
            </w:r>
          </w:p>
        </w:tc>
        <w:tc>
          <w:tcPr>
            <w:tcW w:w="3003" w:type="dxa"/>
            <w:shd w:val="clear" w:color="auto" w:fill="auto"/>
          </w:tcPr>
          <w:p w14:paraId="2A699FC9" w14:textId="77777777" w:rsidR="00BB1BED" w:rsidRPr="00DD5FEC" w:rsidRDefault="00BB1BED" w:rsidP="00BB1BED">
            <w:pPr>
              <w:jc w:val="center"/>
              <w:rPr>
                <w:rFonts w:ascii="Times New Roman" w:hAnsi="Times New Roman"/>
                <w:b/>
                <w:bCs/>
                <w:sz w:val="22"/>
                <w:szCs w:val="22"/>
              </w:rPr>
            </w:pPr>
            <w:r w:rsidRPr="00DD5FEC">
              <w:rPr>
                <w:rFonts w:ascii="Times New Roman" w:hAnsi="Times New Roman"/>
                <w:b/>
                <w:bCs/>
                <w:sz w:val="22"/>
                <w:szCs w:val="22"/>
              </w:rPr>
              <w:t>Content</w:t>
            </w:r>
          </w:p>
        </w:tc>
        <w:tc>
          <w:tcPr>
            <w:tcW w:w="3004" w:type="dxa"/>
            <w:shd w:val="clear" w:color="auto" w:fill="auto"/>
          </w:tcPr>
          <w:p w14:paraId="3123BAD0" w14:textId="77777777" w:rsidR="00BB1BED" w:rsidRPr="00DD5FEC" w:rsidRDefault="00BB1BED" w:rsidP="00BB1BED">
            <w:pPr>
              <w:jc w:val="center"/>
              <w:rPr>
                <w:rFonts w:ascii="Times New Roman" w:hAnsi="Times New Roman"/>
                <w:b/>
                <w:bCs/>
                <w:sz w:val="22"/>
                <w:szCs w:val="22"/>
              </w:rPr>
            </w:pPr>
            <w:r w:rsidRPr="00DD5FEC">
              <w:rPr>
                <w:rFonts w:ascii="Times New Roman" w:hAnsi="Times New Roman"/>
                <w:b/>
                <w:bCs/>
                <w:sz w:val="22"/>
                <w:szCs w:val="22"/>
              </w:rPr>
              <w:t>Time of submission</w:t>
            </w:r>
          </w:p>
        </w:tc>
      </w:tr>
      <w:tr w:rsidR="00BB1BED" w:rsidRPr="00DD5FEC" w14:paraId="2F56C6FD" w14:textId="77777777" w:rsidTr="002A1E22">
        <w:tc>
          <w:tcPr>
            <w:tcW w:w="3003" w:type="dxa"/>
            <w:shd w:val="clear" w:color="auto" w:fill="auto"/>
          </w:tcPr>
          <w:p w14:paraId="39DEAE24" w14:textId="77777777" w:rsidR="00BB1BED" w:rsidRPr="00DD5FEC" w:rsidRDefault="00BB1BED" w:rsidP="005A010B">
            <w:pPr>
              <w:rPr>
                <w:rFonts w:ascii="Times New Roman" w:hAnsi="Times New Roman"/>
                <w:sz w:val="22"/>
                <w:szCs w:val="22"/>
              </w:rPr>
            </w:pPr>
            <w:r w:rsidRPr="00DD5FEC">
              <w:rPr>
                <w:rFonts w:ascii="Times New Roman" w:hAnsi="Times New Roman"/>
                <w:sz w:val="22"/>
                <w:szCs w:val="22"/>
              </w:rPr>
              <w:t xml:space="preserve">Inception </w:t>
            </w:r>
            <w:r w:rsidR="00EC795C" w:rsidRPr="00DD5FEC">
              <w:rPr>
                <w:rFonts w:ascii="Times New Roman" w:hAnsi="Times New Roman"/>
                <w:sz w:val="22"/>
                <w:szCs w:val="22"/>
              </w:rPr>
              <w:t>r</w:t>
            </w:r>
            <w:r w:rsidRPr="00DD5FEC">
              <w:rPr>
                <w:rFonts w:ascii="Times New Roman" w:hAnsi="Times New Roman"/>
                <w:sz w:val="22"/>
                <w:szCs w:val="22"/>
              </w:rPr>
              <w:t>eport</w:t>
            </w:r>
          </w:p>
        </w:tc>
        <w:tc>
          <w:tcPr>
            <w:tcW w:w="3003" w:type="dxa"/>
            <w:shd w:val="clear" w:color="auto" w:fill="auto"/>
          </w:tcPr>
          <w:p w14:paraId="2ECB640F" w14:textId="77777777" w:rsidR="00BB1BED" w:rsidRPr="00DD5FEC" w:rsidRDefault="00BB1BED" w:rsidP="006E2226">
            <w:pPr>
              <w:jc w:val="left"/>
              <w:rPr>
                <w:rFonts w:ascii="Times New Roman" w:hAnsi="Times New Roman"/>
                <w:sz w:val="22"/>
                <w:szCs w:val="22"/>
              </w:rPr>
            </w:pPr>
            <w:r w:rsidRPr="00DD5FEC">
              <w:rPr>
                <w:rFonts w:ascii="Times New Roman" w:hAnsi="Times New Roman"/>
                <w:sz w:val="22"/>
                <w:szCs w:val="22"/>
              </w:rPr>
              <w:t>Analysis of existing situation and work plan for the project</w:t>
            </w:r>
          </w:p>
        </w:tc>
        <w:tc>
          <w:tcPr>
            <w:tcW w:w="3004" w:type="dxa"/>
            <w:shd w:val="clear" w:color="auto" w:fill="auto"/>
          </w:tcPr>
          <w:p w14:paraId="4BCA6A24" w14:textId="77777777" w:rsidR="00BB1BED" w:rsidRPr="00DD5FEC" w:rsidRDefault="00BB1BED" w:rsidP="006E2226">
            <w:pPr>
              <w:jc w:val="left"/>
              <w:rPr>
                <w:rFonts w:ascii="Times New Roman" w:hAnsi="Times New Roman"/>
                <w:sz w:val="22"/>
                <w:szCs w:val="22"/>
              </w:rPr>
            </w:pPr>
            <w:r w:rsidRPr="00DD5FEC">
              <w:rPr>
                <w:rFonts w:ascii="Times New Roman" w:hAnsi="Times New Roman"/>
                <w:sz w:val="22"/>
                <w:szCs w:val="22"/>
              </w:rPr>
              <w:t>No later than 1 month after the start of implementation</w:t>
            </w:r>
          </w:p>
        </w:tc>
      </w:tr>
      <w:tr w:rsidR="00BB1BED" w:rsidRPr="00DD5FEC" w14:paraId="618A8084" w14:textId="77777777" w:rsidTr="002A1E22">
        <w:tc>
          <w:tcPr>
            <w:tcW w:w="3003" w:type="dxa"/>
            <w:shd w:val="clear" w:color="auto" w:fill="auto"/>
          </w:tcPr>
          <w:p w14:paraId="2F1C9E92" w14:textId="77777777" w:rsidR="00BB1BED" w:rsidRPr="00DD5FEC" w:rsidRDefault="00BB1BED" w:rsidP="005A010B">
            <w:pPr>
              <w:rPr>
                <w:rFonts w:ascii="Times New Roman" w:hAnsi="Times New Roman"/>
                <w:sz w:val="22"/>
                <w:szCs w:val="22"/>
              </w:rPr>
            </w:pPr>
            <w:r w:rsidRPr="00DD5FEC">
              <w:rPr>
                <w:rFonts w:ascii="Times New Roman" w:hAnsi="Times New Roman"/>
                <w:sz w:val="22"/>
                <w:szCs w:val="22"/>
              </w:rPr>
              <w:t xml:space="preserve">6-month </w:t>
            </w:r>
            <w:r w:rsidR="00EC795C" w:rsidRPr="00DD5FEC">
              <w:rPr>
                <w:rFonts w:ascii="Times New Roman" w:hAnsi="Times New Roman"/>
                <w:sz w:val="22"/>
                <w:szCs w:val="22"/>
              </w:rPr>
              <w:t>p</w:t>
            </w:r>
            <w:r w:rsidRPr="00DD5FEC">
              <w:rPr>
                <w:rFonts w:ascii="Times New Roman" w:hAnsi="Times New Roman"/>
                <w:sz w:val="22"/>
                <w:szCs w:val="22"/>
              </w:rPr>
              <w:t xml:space="preserve">rogress </w:t>
            </w:r>
            <w:r w:rsidR="00EC795C" w:rsidRPr="00DD5FEC">
              <w:rPr>
                <w:rFonts w:ascii="Times New Roman" w:hAnsi="Times New Roman"/>
                <w:sz w:val="22"/>
                <w:szCs w:val="22"/>
              </w:rPr>
              <w:t>r</w:t>
            </w:r>
            <w:r w:rsidRPr="00DD5FEC">
              <w:rPr>
                <w:rFonts w:ascii="Times New Roman" w:hAnsi="Times New Roman"/>
                <w:sz w:val="22"/>
                <w:szCs w:val="22"/>
              </w:rPr>
              <w:t>eport</w:t>
            </w:r>
          </w:p>
        </w:tc>
        <w:tc>
          <w:tcPr>
            <w:tcW w:w="3003" w:type="dxa"/>
            <w:shd w:val="clear" w:color="auto" w:fill="auto"/>
          </w:tcPr>
          <w:p w14:paraId="77FC0587" w14:textId="54AC06C4" w:rsidR="00BB1BED" w:rsidRPr="00B57C57" w:rsidRDefault="00BB1BED" w:rsidP="00B57C57">
            <w:pPr>
              <w:jc w:val="left"/>
              <w:rPr>
                <w:rFonts w:ascii="Times New Roman" w:hAnsi="Times New Roman"/>
                <w:sz w:val="22"/>
                <w:szCs w:val="22"/>
              </w:rPr>
            </w:pPr>
            <w:r w:rsidRPr="00B57C57">
              <w:rPr>
                <w:rFonts w:ascii="Times New Roman" w:hAnsi="Times New Roman"/>
                <w:sz w:val="22"/>
                <w:szCs w:val="22"/>
              </w:rPr>
              <w:t xml:space="preserve">Short description of progress </w:t>
            </w:r>
            <w:r w:rsidR="00D7797F" w:rsidRPr="00B57C57">
              <w:rPr>
                <w:rFonts w:ascii="Times New Roman" w:hAnsi="Times New Roman"/>
                <w:sz w:val="22"/>
                <w:szCs w:val="22"/>
              </w:rPr>
              <w:t xml:space="preserve">against the achievement of the results as spelled out in the Logframe. The progress report </w:t>
            </w:r>
            <w:r w:rsidRPr="00B57C57">
              <w:rPr>
                <w:rFonts w:ascii="Times New Roman" w:hAnsi="Times New Roman"/>
                <w:sz w:val="22"/>
                <w:szCs w:val="22"/>
              </w:rPr>
              <w:t>(technical and financial)</w:t>
            </w:r>
            <w:r w:rsidR="00D7797F" w:rsidRPr="00B57C57">
              <w:rPr>
                <w:rFonts w:ascii="Times New Roman" w:hAnsi="Times New Roman"/>
                <w:sz w:val="22"/>
                <w:szCs w:val="22"/>
              </w:rPr>
              <w:t xml:space="preserve"> should</w:t>
            </w:r>
            <w:r w:rsidRPr="00B57C57">
              <w:rPr>
                <w:rFonts w:ascii="Times New Roman" w:hAnsi="Times New Roman"/>
                <w:sz w:val="22"/>
                <w:szCs w:val="22"/>
              </w:rPr>
              <w:t xml:space="preserve"> includ</w:t>
            </w:r>
            <w:r w:rsidR="00D7797F" w:rsidRPr="00B57C57">
              <w:rPr>
                <w:rFonts w:ascii="Times New Roman" w:hAnsi="Times New Roman"/>
                <w:sz w:val="22"/>
                <w:szCs w:val="22"/>
              </w:rPr>
              <w:t>e</w:t>
            </w:r>
            <w:r w:rsidR="002A1E22" w:rsidRPr="00B57C57">
              <w:rPr>
                <w:rFonts w:ascii="Times New Roman" w:hAnsi="Times New Roman"/>
                <w:sz w:val="22"/>
                <w:szCs w:val="22"/>
              </w:rPr>
              <w:t xml:space="preserve"> </w:t>
            </w:r>
            <w:r w:rsidRPr="00B57C57">
              <w:rPr>
                <w:rFonts w:ascii="Times New Roman" w:hAnsi="Times New Roman"/>
                <w:sz w:val="22"/>
                <w:szCs w:val="22"/>
              </w:rPr>
              <w:t>problems encountered; planned work for the next 6 months accompanied by an invoice and the expenditure verification report.</w:t>
            </w:r>
          </w:p>
        </w:tc>
        <w:tc>
          <w:tcPr>
            <w:tcW w:w="3004" w:type="dxa"/>
            <w:shd w:val="clear" w:color="auto" w:fill="auto"/>
          </w:tcPr>
          <w:p w14:paraId="1A6CF89E" w14:textId="77777777" w:rsidR="00BB1BED" w:rsidRPr="00DD5FEC" w:rsidRDefault="00BB1BED" w:rsidP="006E2226">
            <w:pPr>
              <w:jc w:val="left"/>
              <w:rPr>
                <w:rFonts w:ascii="Times New Roman" w:hAnsi="Times New Roman"/>
                <w:sz w:val="22"/>
                <w:szCs w:val="22"/>
              </w:rPr>
            </w:pPr>
            <w:r w:rsidRPr="00DD5FEC">
              <w:rPr>
                <w:rFonts w:ascii="Times New Roman" w:hAnsi="Times New Roman"/>
                <w:sz w:val="22"/>
                <w:szCs w:val="22"/>
              </w:rPr>
              <w:t>No later than 1 month after the end of each 6-month implementation period.</w:t>
            </w:r>
          </w:p>
        </w:tc>
      </w:tr>
      <w:tr w:rsidR="00BB1BED" w:rsidRPr="00DD5FEC" w14:paraId="2918ED36" w14:textId="77777777" w:rsidTr="002A1E22">
        <w:tc>
          <w:tcPr>
            <w:tcW w:w="3003" w:type="dxa"/>
            <w:shd w:val="clear" w:color="auto" w:fill="auto"/>
          </w:tcPr>
          <w:p w14:paraId="19712DDC" w14:textId="77777777" w:rsidR="00BB1BED" w:rsidRPr="00DD5FEC" w:rsidRDefault="00BB1BED" w:rsidP="005A010B">
            <w:pPr>
              <w:rPr>
                <w:rFonts w:ascii="Times New Roman" w:hAnsi="Times New Roman"/>
                <w:sz w:val="22"/>
                <w:szCs w:val="22"/>
              </w:rPr>
            </w:pPr>
            <w:r w:rsidRPr="00DD5FEC">
              <w:rPr>
                <w:rFonts w:ascii="Times New Roman" w:hAnsi="Times New Roman"/>
                <w:sz w:val="22"/>
                <w:szCs w:val="22"/>
              </w:rPr>
              <w:t xml:space="preserve">Draft </w:t>
            </w:r>
            <w:r w:rsidR="00EC795C" w:rsidRPr="00DD5FEC">
              <w:rPr>
                <w:rFonts w:ascii="Times New Roman" w:hAnsi="Times New Roman"/>
                <w:sz w:val="22"/>
                <w:szCs w:val="22"/>
              </w:rPr>
              <w:t>f</w:t>
            </w:r>
            <w:r w:rsidRPr="00DD5FEC">
              <w:rPr>
                <w:rFonts w:ascii="Times New Roman" w:hAnsi="Times New Roman"/>
                <w:sz w:val="22"/>
                <w:szCs w:val="22"/>
              </w:rPr>
              <w:t xml:space="preserve">inal </w:t>
            </w:r>
            <w:r w:rsidR="00EC795C" w:rsidRPr="00DD5FEC">
              <w:rPr>
                <w:rFonts w:ascii="Times New Roman" w:hAnsi="Times New Roman"/>
                <w:sz w:val="22"/>
                <w:szCs w:val="22"/>
              </w:rPr>
              <w:t>r</w:t>
            </w:r>
            <w:r w:rsidRPr="00DD5FEC">
              <w:rPr>
                <w:rFonts w:ascii="Times New Roman" w:hAnsi="Times New Roman"/>
                <w:sz w:val="22"/>
                <w:szCs w:val="22"/>
              </w:rPr>
              <w:t>eport</w:t>
            </w:r>
          </w:p>
        </w:tc>
        <w:tc>
          <w:tcPr>
            <w:tcW w:w="3003" w:type="dxa"/>
            <w:shd w:val="clear" w:color="auto" w:fill="auto"/>
          </w:tcPr>
          <w:p w14:paraId="25F90599" w14:textId="77C0B111" w:rsidR="00BB1BED" w:rsidRPr="00B57C57" w:rsidRDefault="00BB1BED" w:rsidP="00B57C57">
            <w:pPr>
              <w:jc w:val="left"/>
              <w:rPr>
                <w:rFonts w:ascii="Times New Roman" w:hAnsi="Times New Roman"/>
                <w:sz w:val="22"/>
                <w:szCs w:val="22"/>
              </w:rPr>
            </w:pPr>
            <w:r w:rsidRPr="00B57C57">
              <w:rPr>
                <w:rFonts w:ascii="Times New Roman" w:hAnsi="Times New Roman"/>
                <w:sz w:val="22"/>
                <w:szCs w:val="22"/>
              </w:rPr>
              <w:t xml:space="preserve">Short description of </w:t>
            </w:r>
            <w:r w:rsidR="00D7797F" w:rsidRPr="00B57C57">
              <w:rPr>
                <w:rFonts w:ascii="Times New Roman" w:hAnsi="Times New Roman"/>
                <w:sz w:val="22"/>
                <w:szCs w:val="22"/>
              </w:rPr>
              <w:t xml:space="preserve">the </w:t>
            </w:r>
            <w:r w:rsidRPr="00B57C57">
              <w:rPr>
                <w:rFonts w:ascii="Times New Roman" w:hAnsi="Times New Roman"/>
                <w:sz w:val="22"/>
                <w:szCs w:val="22"/>
              </w:rPr>
              <w:t>achievement</w:t>
            </w:r>
            <w:r w:rsidR="00D7797F" w:rsidRPr="00B57C57">
              <w:rPr>
                <w:rFonts w:ascii="Times New Roman" w:hAnsi="Times New Roman"/>
                <w:sz w:val="22"/>
                <w:szCs w:val="22"/>
              </w:rPr>
              <w:t xml:space="preserve"> of the results as spelled out in the Logframe. The draft final report should</w:t>
            </w:r>
            <w:r w:rsidRPr="00B57C57">
              <w:rPr>
                <w:rFonts w:ascii="Times New Roman" w:hAnsi="Times New Roman"/>
                <w:sz w:val="22"/>
                <w:szCs w:val="22"/>
              </w:rPr>
              <w:t xml:space="preserve"> </w:t>
            </w:r>
            <w:r w:rsidR="00D7797F" w:rsidRPr="00B57C57">
              <w:rPr>
                <w:rFonts w:ascii="Times New Roman" w:hAnsi="Times New Roman"/>
                <w:sz w:val="22"/>
                <w:szCs w:val="22"/>
              </w:rPr>
              <w:t>include a description of</w:t>
            </w:r>
            <w:r w:rsidR="002A1E22" w:rsidRPr="00B57C57">
              <w:rPr>
                <w:rFonts w:ascii="Times New Roman" w:hAnsi="Times New Roman"/>
                <w:sz w:val="22"/>
                <w:szCs w:val="22"/>
              </w:rPr>
              <w:t xml:space="preserve"> </w:t>
            </w:r>
            <w:r w:rsidR="00D7797F" w:rsidRPr="00B57C57">
              <w:rPr>
                <w:rFonts w:ascii="Times New Roman" w:hAnsi="Times New Roman"/>
                <w:sz w:val="22"/>
                <w:szCs w:val="22"/>
              </w:rPr>
              <w:t xml:space="preserve">the  </w:t>
            </w:r>
            <w:r w:rsidRPr="00B57C57">
              <w:rPr>
                <w:rFonts w:ascii="Times New Roman" w:hAnsi="Times New Roman"/>
                <w:sz w:val="22"/>
                <w:szCs w:val="22"/>
              </w:rPr>
              <w:t>problems encountered and recommendations.</w:t>
            </w:r>
          </w:p>
        </w:tc>
        <w:tc>
          <w:tcPr>
            <w:tcW w:w="3004" w:type="dxa"/>
            <w:shd w:val="clear" w:color="auto" w:fill="auto"/>
          </w:tcPr>
          <w:p w14:paraId="5D588CA8" w14:textId="77777777" w:rsidR="00BB1BED" w:rsidRPr="00DD5FEC" w:rsidRDefault="00BB1BED" w:rsidP="006E2226">
            <w:pPr>
              <w:jc w:val="left"/>
              <w:rPr>
                <w:rFonts w:ascii="Times New Roman" w:hAnsi="Times New Roman"/>
                <w:sz w:val="22"/>
                <w:szCs w:val="22"/>
              </w:rPr>
            </w:pPr>
            <w:r w:rsidRPr="00DD5FEC">
              <w:rPr>
                <w:rFonts w:ascii="Times New Roman" w:hAnsi="Times New Roman"/>
                <w:sz w:val="22"/>
                <w:szCs w:val="22"/>
              </w:rPr>
              <w:t xml:space="preserve">No later than 1 month before the end of the implementation period. </w:t>
            </w:r>
          </w:p>
        </w:tc>
      </w:tr>
      <w:tr w:rsidR="00BB1BED" w:rsidRPr="00DD5FEC" w14:paraId="770158AD" w14:textId="77777777" w:rsidTr="002A1E22">
        <w:tc>
          <w:tcPr>
            <w:tcW w:w="3003" w:type="dxa"/>
            <w:shd w:val="clear" w:color="auto" w:fill="auto"/>
          </w:tcPr>
          <w:p w14:paraId="3C5104D6" w14:textId="77777777" w:rsidR="00BB1BED" w:rsidRPr="00DD5FEC" w:rsidRDefault="00BB1BED" w:rsidP="005A010B">
            <w:pPr>
              <w:rPr>
                <w:rFonts w:ascii="Times New Roman" w:hAnsi="Times New Roman"/>
                <w:sz w:val="22"/>
                <w:szCs w:val="22"/>
              </w:rPr>
            </w:pPr>
            <w:r w:rsidRPr="00DD5FEC">
              <w:rPr>
                <w:rFonts w:ascii="Times New Roman" w:hAnsi="Times New Roman"/>
                <w:sz w:val="22"/>
                <w:szCs w:val="22"/>
              </w:rPr>
              <w:lastRenderedPageBreak/>
              <w:t xml:space="preserve">Final </w:t>
            </w:r>
            <w:r w:rsidR="00EC795C" w:rsidRPr="00DD5FEC">
              <w:rPr>
                <w:rFonts w:ascii="Times New Roman" w:hAnsi="Times New Roman"/>
                <w:sz w:val="22"/>
                <w:szCs w:val="22"/>
              </w:rPr>
              <w:t>r</w:t>
            </w:r>
            <w:r w:rsidRPr="00DD5FEC">
              <w:rPr>
                <w:rFonts w:ascii="Times New Roman" w:hAnsi="Times New Roman"/>
                <w:sz w:val="22"/>
                <w:szCs w:val="22"/>
              </w:rPr>
              <w:t>eport</w:t>
            </w:r>
          </w:p>
        </w:tc>
        <w:tc>
          <w:tcPr>
            <w:tcW w:w="3003" w:type="dxa"/>
            <w:shd w:val="clear" w:color="auto" w:fill="auto"/>
          </w:tcPr>
          <w:p w14:paraId="0B3365E1" w14:textId="437E5DA2" w:rsidR="00BB1BED" w:rsidRPr="00B57C57" w:rsidRDefault="00BB1BED" w:rsidP="00067DB0">
            <w:pPr>
              <w:jc w:val="left"/>
              <w:rPr>
                <w:rFonts w:ascii="Times New Roman" w:hAnsi="Times New Roman"/>
                <w:sz w:val="22"/>
                <w:szCs w:val="22"/>
              </w:rPr>
            </w:pPr>
            <w:r w:rsidRPr="00B57C57">
              <w:rPr>
                <w:rFonts w:ascii="Times New Roman" w:hAnsi="Times New Roman"/>
                <w:sz w:val="22"/>
                <w:szCs w:val="22"/>
              </w:rPr>
              <w:t xml:space="preserve">Short description of </w:t>
            </w:r>
            <w:r w:rsidR="00D7797F" w:rsidRPr="00B57C57">
              <w:rPr>
                <w:rFonts w:ascii="Times New Roman" w:hAnsi="Times New Roman"/>
                <w:sz w:val="22"/>
                <w:szCs w:val="22"/>
              </w:rPr>
              <w:t xml:space="preserve">the </w:t>
            </w:r>
            <w:r w:rsidRPr="00B57C57">
              <w:rPr>
                <w:rFonts w:ascii="Times New Roman" w:hAnsi="Times New Roman"/>
                <w:sz w:val="22"/>
                <w:szCs w:val="22"/>
              </w:rPr>
              <w:t>achievement</w:t>
            </w:r>
            <w:r w:rsidR="00B46058" w:rsidRPr="00B57C57">
              <w:rPr>
                <w:rFonts w:ascii="Times New Roman" w:hAnsi="Times New Roman"/>
                <w:sz w:val="22"/>
                <w:szCs w:val="22"/>
              </w:rPr>
              <w:t xml:space="preserve"> of the results as spelled out in the Logframe. The final report should include a description of the</w:t>
            </w:r>
            <w:r w:rsidRPr="00B57C57">
              <w:rPr>
                <w:rFonts w:ascii="Times New Roman" w:hAnsi="Times New Roman"/>
                <w:sz w:val="22"/>
                <w:szCs w:val="22"/>
              </w:rPr>
              <w:t xml:space="preserve"> problems </w:t>
            </w:r>
            <w:r w:rsidR="00067DB0">
              <w:rPr>
                <w:rFonts w:ascii="Times New Roman" w:hAnsi="Times New Roman"/>
                <w:sz w:val="22"/>
                <w:szCs w:val="22"/>
              </w:rPr>
              <w:t>encountered and recommendations</w:t>
            </w:r>
            <w:r w:rsidRPr="00B57C57">
              <w:rPr>
                <w:rFonts w:ascii="Times New Roman" w:hAnsi="Times New Roman"/>
                <w:sz w:val="22"/>
                <w:szCs w:val="22"/>
              </w:rPr>
              <w:t xml:space="preserve"> a final invoice and the financial report accompanied by the expenditure verification report.</w:t>
            </w:r>
          </w:p>
        </w:tc>
        <w:tc>
          <w:tcPr>
            <w:tcW w:w="3004" w:type="dxa"/>
            <w:shd w:val="clear" w:color="auto" w:fill="auto"/>
          </w:tcPr>
          <w:p w14:paraId="4DD81DF0" w14:textId="77777777" w:rsidR="00BB1BED" w:rsidRPr="00DD5FEC" w:rsidRDefault="00BB1BED" w:rsidP="005A010B">
            <w:pPr>
              <w:jc w:val="left"/>
              <w:rPr>
                <w:rFonts w:ascii="Times New Roman" w:hAnsi="Times New Roman"/>
                <w:sz w:val="22"/>
                <w:szCs w:val="22"/>
              </w:rPr>
            </w:pPr>
            <w:r w:rsidRPr="00DD5FEC">
              <w:rPr>
                <w:rFonts w:ascii="Times New Roman" w:hAnsi="Times New Roman"/>
                <w:sz w:val="22"/>
                <w:szCs w:val="22"/>
              </w:rPr>
              <w:t xml:space="preserve">Within 1 month of receiving comments on the draft final report from the </w:t>
            </w:r>
            <w:r w:rsidR="00EC795C" w:rsidRPr="00DD5FEC">
              <w:rPr>
                <w:rFonts w:ascii="Times New Roman" w:hAnsi="Times New Roman"/>
                <w:sz w:val="22"/>
                <w:szCs w:val="22"/>
              </w:rPr>
              <w:t>p</w:t>
            </w:r>
            <w:r w:rsidRPr="00DD5FEC">
              <w:rPr>
                <w:rFonts w:ascii="Times New Roman" w:hAnsi="Times New Roman"/>
                <w:sz w:val="22"/>
                <w:szCs w:val="22"/>
              </w:rPr>
              <w:t xml:space="preserve">roject </w:t>
            </w:r>
            <w:r w:rsidR="00EC795C" w:rsidRPr="00DD5FEC">
              <w:rPr>
                <w:rFonts w:ascii="Times New Roman" w:hAnsi="Times New Roman"/>
                <w:sz w:val="22"/>
                <w:szCs w:val="22"/>
              </w:rPr>
              <w:t>m</w:t>
            </w:r>
            <w:r w:rsidRPr="00DD5FEC">
              <w:rPr>
                <w:rFonts w:ascii="Times New Roman" w:hAnsi="Times New Roman"/>
                <w:sz w:val="22"/>
                <w:szCs w:val="22"/>
              </w:rPr>
              <w:t>anager identified in the contract.</w:t>
            </w:r>
          </w:p>
        </w:tc>
      </w:tr>
    </w:tbl>
    <w:p w14:paraId="52A0F556" w14:textId="77777777" w:rsidR="00BB1BED" w:rsidRPr="00DD5FEC" w:rsidRDefault="00BB1BED" w:rsidP="00150137">
      <w:pPr>
        <w:pStyle w:val="Heading2"/>
        <w:rPr>
          <w:sz w:val="22"/>
          <w:szCs w:val="22"/>
        </w:rPr>
      </w:pPr>
      <w:bookmarkStart w:id="43" w:name="_Toc438131792"/>
      <w:r w:rsidRPr="00DD5FEC">
        <w:rPr>
          <w:sz w:val="22"/>
          <w:szCs w:val="22"/>
        </w:rPr>
        <w:t>Submission &amp; approval of reports</w:t>
      </w:r>
      <w:bookmarkEnd w:id="43"/>
    </w:p>
    <w:p w14:paraId="3C2AD82B" w14:textId="1945307D" w:rsidR="009D0649" w:rsidRPr="00DD5FEC" w:rsidRDefault="009D0649" w:rsidP="009D0649">
      <w:pPr>
        <w:rPr>
          <w:rFonts w:ascii="Times New Roman" w:hAnsi="Times New Roman"/>
          <w:sz w:val="22"/>
          <w:szCs w:val="22"/>
        </w:rPr>
      </w:pPr>
      <w:r w:rsidRPr="00DD5FEC">
        <w:rPr>
          <w:rFonts w:ascii="Times New Roman" w:hAnsi="Times New Roman"/>
          <w:sz w:val="22"/>
          <w:szCs w:val="22"/>
        </w:rPr>
        <w:t>2 paper copies of the reports referred to above must be submitted to the project manager and one to the main Beneficiaries – Ministry of Economic Development and Tourism, identified in the contract. Electronic copy of the reports should be further disseminated to all the other stakeholders. The reports must be written in English and translated in Montenegrin. The project manager is responsible for approving the reports after endorsement by the Beneficiaries.</w:t>
      </w:r>
    </w:p>
    <w:p w14:paraId="52B3AC4E" w14:textId="77777777" w:rsidR="009D0649" w:rsidRPr="00DD5FEC" w:rsidRDefault="009D0649" w:rsidP="009D0649">
      <w:pPr>
        <w:keepNext/>
        <w:keepLines/>
        <w:rPr>
          <w:rFonts w:ascii="Times New Roman" w:hAnsi="Times New Roman"/>
          <w:sz w:val="22"/>
          <w:szCs w:val="22"/>
        </w:rPr>
      </w:pPr>
      <w:r w:rsidRPr="00DD5FEC">
        <w:rPr>
          <w:rFonts w:ascii="Times New Roman" w:hAnsi="Times New Roman"/>
          <w:sz w:val="22"/>
          <w:szCs w:val="22"/>
        </w:rPr>
        <w:t>Prior to approval, the reports shall be discussed in the Project Steering Committee meetings. In case of absence of the comments or an agreement on the text of the report from the Beneficiary within 30 calendar days from the receipt of the report, the reports are deemed to be agreed.</w:t>
      </w:r>
    </w:p>
    <w:p w14:paraId="684ABD2B" w14:textId="77777777" w:rsidR="00BB1BED" w:rsidRPr="00287A5B" w:rsidRDefault="00BB1BED" w:rsidP="00BB1BED">
      <w:pPr>
        <w:pStyle w:val="Heading1"/>
      </w:pPr>
      <w:bookmarkStart w:id="44" w:name="_Toc438131793"/>
      <w:r w:rsidRPr="00287A5B">
        <w:t>MONITORING AND EVALUATION</w:t>
      </w:r>
      <w:bookmarkEnd w:id="44"/>
    </w:p>
    <w:p w14:paraId="16480027" w14:textId="77777777" w:rsidR="00BB1BED" w:rsidRPr="00EF5FDC" w:rsidRDefault="00BB1BED" w:rsidP="00150137">
      <w:pPr>
        <w:pStyle w:val="Heading2"/>
        <w:rPr>
          <w:sz w:val="22"/>
          <w:szCs w:val="22"/>
        </w:rPr>
      </w:pPr>
      <w:bookmarkStart w:id="45" w:name="_Toc438131794"/>
      <w:r w:rsidRPr="00EF5FDC">
        <w:rPr>
          <w:sz w:val="22"/>
          <w:szCs w:val="22"/>
        </w:rPr>
        <w:t>Definition of indicators</w:t>
      </w:r>
      <w:bookmarkEnd w:id="45"/>
    </w:p>
    <w:p w14:paraId="1A9E3538" w14:textId="77777777" w:rsidR="00902E32" w:rsidRPr="00EF5FDC" w:rsidRDefault="00902E32" w:rsidP="00902E32">
      <w:pPr>
        <w:rPr>
          <w:rFonts w:ascii="Times New Roman" w:hAnsi="Times New Roman"/>
          <w:bCs/>
          <w:sz w:val="22"/>
          <w:szCs w:val="22"/>
        </w:rPr>
      </w:pPr>
      <w:r w:rsidRPr="00EF5FDC">
        <w:rPr>
          <w:rFonts w:ascii="Times New Roman" w:hAnsi="Times New Roman"/>
          <w:bCs/>
          <w:sz w:val="22"/>
          <w:szCs w:val="22"/>
        </w:rPr>
        <w:t>Execution of the Contract will be periodically monitored through reporting under the standard terms of the contract and assessing the progress made in relation to the purpose, activities, results and indicators stated in the job description. The following list of performance indicators has been proposed:</w:t>
      </w:r>
    </w:p>
    <w:p w14:paraId="09E80A1E" w14:textId="40279ABB" w:rsidR="00FE155F" w:rsidRPr="00AD7909" w:rsidRDefault="0043246E" w:rsidP="00AD7909">
      <w:pPr>
        <w:pStyle w:val="Heading2"/>
        <w:numPr>
          <w:ilvl w:val="0"/>
          <w:numId w:val="34"/>
        </w:numPr>
        <w:spacing w:before="120"/>
        <w:ind w:left="924" w:hanging="357"/>
        <w:rPr>
          <w:b w:val="0"/>
          <w:sz w:val="22"/>
          <w:szCs w:val="22"/>
        </w:rPr>
      </w:pPr>
      <w:r w:rsidRPr="00AD7909">
        <w:rPr>
          <w:b w:val="0"/>
          <w:sz w:val="22"/>
          <w:szCs w:val="22"/>
        </w:rPr>
        <w:t xml:space="preserve">Analysis of existing </w:t>
      </w:r>
      <w:r w:rsidR="00FE155F" w:rsidRPr="00AD7909">
        <w:rPr>
          <w:b w:val="0"/>
          <w:sz w:val="22"/>
          <w:szCs w:val="22"/>
        </w:rPr>
        <w:t xml:space="preserve">framework </w:t>
      </w:r>
      <w:r w:rsidRPr="00AD7909">
        <w:rPr>
          <w:b w:val="0"/>
          <w:sz w:val="22"/>
          <w:szCs w:val="22"/>
        </w:rPr>
        <w:t>provi</w:t>
      </w:r>
      <w:r w:rsidR="00FE155F" w:rsidRPr="00AD7909">
        <w:rPr>
          <w:b w:val="0"/>
          <w:sz w:val="22"/>
          <w:szCs w:val="22"/>
        </w:rPr>
        <w:t>ding advisory services for SMEs;</w:t>
      </w:r>
    </w:p>
    <w:p w14:paraId="1EC2E79D" w14:textId="0DAAE8D1" w:rsidR="00966DD0" w:rsidRPr="00AD7909" w:rsidRDefault="002364C9" w:rsidP="00AD7909">
      <w:pPr>
        <w:pStyle w:val="Heading2"/>
        <w:numPr>
          <w:ilvl w:val="0"/>
          <w:numId w:val="34"/>
        </w:numPr>
        <w:spacing w:before="120"/>
        <w:ind w:left="924" w:hanging="357"/>
        <w:rPr>
          <w:b w:val="0"/>
          <w:sz w:val="22"/>
          <w:szCs w:val="22"/>
        </w:rPr>
      </w:pPr>
      <w:r w:rsidRPr="00AD7909">
        <w:rPr>
          <w:b w:val="0"/>
          <w:sz w:val="22"/>
          <w:szCs w:val="22"/>
        </w:rPr>
        <w:t>Number of guidance</w:t>
      </w:r>
      <w:r w:rsidR="00FE155F" w:rsidRPr="00AD7909">
        <w:rPr>
          <w:b w:val="0"/>
          <w:sz w:val="22"/>
          <w:szCs w:val="22"/>
        </w:rPr>
        <w:t xml:space="preserve"> for development </w:t>
      </w:r>
      <w:r w:rsidRPr="00AD7909">
        <w:rPr>
          <w:b w:val="0"/>
          <w:sz w:val="22"/>
          <w:szCs w:val="22"/>
        </w:rPr>
        <w:t xml:space="preserve">of </w:t>
      </w:r>
      <w:r w:rsidR="00FE155F" w:rsidRPr="00AD7909">
        <w:rPr>
          <w:b w:val="0"/>
          <w:sz w:val="22"/>
          <w:szCs w:val="22"/>
        </w:rPr>
        <w:t>BDS;</w:t>
      </w:r>
    </w:p>
    <w:p w14:paraId="12D87657" w14:textId="77777777" w:rsidR="00AD7909" w:rsidRPr="00AD7909" w:rsidRDefault="00966DD0" w:rsidP="00AD7909">
      <w:pPr>
        <w:pStyle w:val="ListParagraph"/>
        <w:numPr>
          <w:ilvl w:val="0"/>
          <w:numId w:val="34"/>
        </w:numPr>
        <w:spacing w:before="120"/>
        <w:ind w:left="924" w:hanging="357"/>
        <w:contextualSpacing w:val="0"/>
        <w:rPr>
          <w:rFonts w:ascii="Times New Roman" w:hAnsi="Times New Roman"/>
          <w:sz w:val="22"/>
          <w:szCs w:val="22"/>
        </w:rPr>
      </w:pPr>
      <w:r w:rsidRPr="00AD7909">
        <w:rPr>
          <w:rFonts w:ascii="Times New Roman" w:hAnsi="Times New Roman"/>
          <w:sz w:val="22"/>
          <w:szCs w:val="22"/>
        </w:rPr>
        <w:t>System for analysing MSME skills and training needs developed</w:t>
      </w:r>
    </w:p>
    <w:p w14:paraId="495D694B" w14:textId="77777777" w:rsidR="00AD7909" w:rsidRPr="00AD7909" w:rsidRDefault="00705D66" w:rsidP="00AD7909">
      <w:pPr>
        <w:pStyle w:val="ListParagraph"/>
        <w:numPr>
          <w:ilvl w:val="0"/>
          <w:numId w:val="34"/>
        </w:numPr>
        <w:spacing w:before="120"/>
        <w:ind w:left="924" w:hanging="357"/>
        <w:rPr>
          <w:rFonts w:ascii="Times New Roman" w:hAnsi="Times New Roman"/>
          <w:sz w:val="22"/>
          <w:szCs w:val="22"/>
        </w:rPr>
      </w:pPr>
      <w:r w:rsidRPr="00AD7909">
        <w:rPr>
          <w:rFonts w:ascii="Times New Roman" w:hAnsi="Times New Roman"/>
          <w:sz w:val="22"/>
          <w:szCs w:val="22"/>
        </w:rPr>
        <w:t>Number of impact assessment of IPA grant schemes conducted</w:t>
      </w:r>
    </w:p>
    <w:p w14:paraId="55245376" w14:textId="77777777" w:rsidR="00AD7909" w:rsidRPr="00AD7909" w:rsidRDefault="00AD7909" w:rsidP="00AD7909">
      <w:pPr>
        <w:pStyle w:val="ListParagraph"/>
        <w:numPr>
          <w:ilvl w:val="0"/>
          <w:numId w:val="34"/>
        </w:numPr>
        <w:spacing w:before="120"/>
        <w:ind w:left="924" w:hanging="357"/>
        <w:contextualSpacing w:val="0"/>
        <w:rPr>
          <w:rFonts w:ascii="Times New Roman" w:hAnsi="Times New Roman"/>
          <w:sz w:val="22"/>
          <w:szCs w:val="22"/>
        </w:rPr>
      </w:pPr>
      <w:r w:rsidRPr="00AD7909">
        <w:rPr>
          <w:rFonts w:ascii="Times New Roman" w:hAnsi="Times New Roman"/>
          <w:sz w:val="22"/>
          <w:szCs w:val="22"/>
        </w:rPr>
        <w:t>S</w:t>
      </w:r>
      <w:r w:rsidR="0043246E" w:rsidRPr="00AD7909">
        <w:rPr>
          <w:rFonts w:ascii="Times New Roman" w:hAnsi="Times New Roman"/>
          <w:sz w:val="22"/>
          <w:szCs w:val="22"/>
        </w:rPr>
        <w:t xml:space="preserve">ingle Access Point biznis.gov.me </w:t>
      </w:r>
      <w:r w:rsidR="00FE155F" w:rsidRPr="00AD7909">
        <w:rPr>
          <w:rFonts w:ascii="Times New Roman" w:hAnsi="Times New Roman"/>
          <w:sz w:val="22"/>
          <w:szCs w:val="22"/>
        </w:rPr>
        <w:t xml:space="preserve">website </w:t>
      </w:r>
      <w:r w:rsidR="0043246E" w:rsidRPr="00AD7909">
        <w:rPr>
          <w:rFonts w:ascii="Times New Roman" w:hAnsi="Times New Roman"/>
          <w:sz w:val="22"/>
          <w:szCs w:val="22"/>
        </w:rPr>
        <w:t>upgraded</w:t>
      </w:r>
      <w:r w:rsidR="00FE155F" w:rsidRPr="00AD7909">
        <w:rPr>
          <w:rFonts w:ascii="Times New Roman" w:hAnsi="Times New Roman"/>
          <w:sz w:val="22"/>
          <w:szCs w:val="22"/>
        </w:rPr>
        <w:t>, functional and updated;</w:t>
      </w:r>
    </w:p>
    <w:p w14:paraId="277062C0" w14:textId="77777777" w:rsidR="00AD7909" w:rsidRPr="00AD7909" w:rsidRDefault="00FE155F" w:rsidP="00AD7909">
      <w:pPr>
        <w:pStyle w:val="ListParagraph"/>
        <w:numPr>
          <w:ilvl w:val="0"/>
          <w:numId w:val="34"/>
        </w:numPr>
        <w:spacing w:before="120"/>
        <w:ind w:left="924" w:hanging="357"/>
        <w:contextualSpacing w:val="0"/>
        <w:rPr>
          <w:rFonts w:ascii="Times New Roman" w:hAnsi="Times New Roman"/>
          <w:sz w:val="22"/>
          <w:szCs w:val="22"/>
        </w:rPr>
      </w:pPr>
      <w:r w:rsidRPr="00AD7909">
        <w:rPr>
          <w:rFonts w:ascii="Times New Roman" w:hAnsi="Times New Roman"/>
          <w:sz w:val="22"/>
          <w:szCs w:val="22"/>
        </w:rPr>
        <w:t>At least 3 civil servants able to manage, update and maintain the website;</w:t>
      </w:r>
    </w:p>
    <w:p w14:paraId="74328AEE" w14:textId="77777777" w:rsidR="00AD7909" w:rsidRPr="00AD7909" w:rsidRDefault="00FE155F" w:rsidP="00AD7909">
      <w:pPr>
        <w:pStyle w:val="ListParagraph"/>
        <w:numPr>
          <w:ilvl w:val="0"/>
          <w:numId w:val="34"/>
        </w:numPr>
        <w:spacing w:before="120"/>
        <w:ind w:left="924" w:hanging="357"/>
        <w:contextualSpacing w:val="0"/>
        <w:rPr>
          <w:rFonts w:ascii="Times New Roman" w:hAnsi="Times New Roman"/>
          <w:sz w:val="22"/>
          <w:szCs w:val="22"/>
        </w:rPr>
      </w:pPr>
      <w:r w:rsidRPr="00AD7909">
        <w:rPr>
          <w:rFonts w:ascii="Times New Roman" w:hAnsi="Times New Roman"/>
          <w:sz w:val="22"/>
          <w:szCs w:val="22"/>
        </w:rPr>
        <w:t>N</w:t>
      </w:r>
      <w:r w:rsidR="003A76EC" w:rsidRPr="00AD7909">
        <w:rPr>
          <w:rFonts w:ascii="Times New Roman" w:hAnsi="Times New Roman"/>
          <w:sz w:val="22"/>
          <w:szCs w:val="22"/>
        </w:rPr>
        <w:t>umber of persons trained within responsible institutions for providing advisory services for SMEs (</w:t>
      </w:r>
      <w:r w:rsidR="00902E32" w:rsidRPr="00AD7909">
        <w:rPr>
          <w:rFonts w:ascii="Times New Roman" w:hAnsi="Times New Roman"/>
          <w:sz w:val="22"/>
          <w:szCs w:val="22"/>
        </w:rPr>
        <w:t>Ministry of Economic Development and Tourism</w:t>
      </w:r>
      <w:r w:rsidR="003A76EC" w:rsidRPr="00AD7909">
        <w:rPr>
          <w:rFonts w:ascii="Times New Roman" w:hAnsi="Times New Roman"/>
          <w:sz w:val="22"/>
          <w:szCs w:val="22"/>
        </w:rPr>
        <w:t>)</w:t>
      </w:r>
      <w:bookmarkStart w:id="46" w:name="_Toc438131795"/>
      <w:r w:rsidR="00902E32" w:rsidRPr="00AD7909">
        <w:rPr>
          <w:rFonts w:ascii="Times New Roman" w:hAnsi="Times New Roman"/>
          <w:sz w:val="22"/>
          <w:szCs w:val="22"/>
        </w:rPr>
        <w:t xml:space="preserve">; </w:t>
      </w:r>
    </w:p>
    <w:p w14:paraId="5C4DECAA" w14:textId="77777777" w:rsidR="00AD7909" w:rsidRPr="00AD7909" w:rsidRDefault="00FE155F" w:rsidP="00AD7909">
      <w:pPr>
        <w:pStyle w:val="ListParagraph"/>
        <w:numPr>
          <w:ilvl w:val="0"/>
          <w:numId w:val="34"/>
        </w:numPr>
        <w:spacing w:before="120"/>
        <w:ind w:left="924" w:hanging="357"/>
        <w:contextualSpacing w:val="0"/>
        <w:rPr>
          <w:rFonts w:ascii="Times New Roman" w:hAnsi="Times New Roman"/>
          <w:sz w:val="22"/>
          <w:szCs w:val="22"/>
        </w:rPr>
      </w:pPr>
      <w:r w:rsidRPr="00AD7909">
        <w:rPr>
          <w:rFonts w:ascii="Times New Roman" w:hAnsi="Times New Roman"/>
          <w:sz w:val="22"/>
          <w:szCs w:val="22"/>
        </w:rPr>
        <w:t>At least 70% of the staff in training</w:t>
      </w:r>
      <w:r w:rsidR="002364C9" w:rsidRPr="00AD7909">
        <w:rPr>
          <w:rFonts w:ascii="Times New Roman" w:hAnsi="Times New Roman"/>
          <w:sz w:val="22"/>
          <w:szCs w:val="22"/>
        </w:rPr>
        <w:t>s</w:t>
      </w:r>
      <w:r w:rsidRPr="00AD7909">
        <w:rPr>
          <w:rFonts w:ascii="Times New Roman" w:hAnsi="Times New Roman"/>
          <w:sz w:val="22"/>
          <w:szCs w:val="22"/>
        </w:rPr>
        <w:t xml:space="preserve"> are satisfied and apply acquired knowledge;</w:t>
      </w:r>
    </w:p>
    <w:p w14:paraId="28D88C55" w14:textId="580BEB47" w:rsidR="00FE155F" w:rsidRPr="00AD7909" w:rsidRDefault="00FE155F" w:rsidP="00AD7909">
      <w:pPr>
        <w:pStyle w:val="ListParagraph"/>
        <w:numPr>
          <w:ilvl w:val="0"/>
          <w:numId w:val="34"/>
        </w:numPr>
        <w:spacing w:before="120"/>
        <w:ind w:left="924" w:hanging="357"/>
        <w:contextualSpacing w:val="0"/>
        <w:rPr>
          <w:rFonts w:ascii="Times New Roman" w:hAnsi="Times New Roman"/>
          <w:sz w:val="22"/>
          <w:szCs w:val="22"/>
        </w:rPr>
      </w:pPr>
      <w:r w:rsidRPr="00AD7909">
        <w:rPr>
          <w:rFonts w:ascii="Times New Roman" w:hAnsi="Times New Roman"/>
          <w:sz w:val="22"/>
          <w:szCs w:val="22"/>
        </w:rPr>
        <w:t>Number of measures that support SMEs</w:t>
      </w:r>
      <w:r w:rsidR="002364C9" w:rsidRPr="00AD7909">
        <w:rPr>
          <w:rFonts w:ascii="Times New Roman" w:hAnsi="Times New Roman"/>
          <w:sz w:val="22"/>
          <w:szCs w:val="22"/>
        </w:rPr>
        <w:t>;</w:t>
      </w:r>
    </w:p>
    <w:p w14:paraId="281E720A" w14:textId="6FE12DE9" w:rsidR="00FE155F" w:rsidRPr="00AD7909" w:rsidRDefault="00FE155F" w:rsidP="00AD7909">
      <w:pPr>
        <w:pStyle w:val="Heading2"/>
        <w:numPr>
          <w:ilvl w:val="0"/>
          <w:numId w:val="34"/>
        </w:numPr>
        <w:spacing w:before="120"/>
        <w:ind w:left="924" w:hanging="357"/>
        <w:rPr>
          <w:b w:val="0"/>
          <w:sz w:val="22"/>
          <w:szCs w:val="22"/>
        </w:rPr>
      </w:pPr>
      <w:r w:rsidRPr="00AD7909">
        <w:rPr>
          <w:b w:val="0"/>
          <w:sz w:val="22"/>
          <w:szCs w:val="22"/>
        </w:rPr>
        <w:t>Number of provided advisory support, assistance and knowledge sharing through direct communication with SMEs;</w:t>
      </w:r>
    </w:p>
    <w:p w14:paraId="6045ECB1" w14:textId="6867C4C2" w:rsidR="00966DD0" w:rsidRPr="00AD7909" w:rsidRDefault="00FE155F" w:rsidP="00AD7909">
      <w:pPr>
        <w:pStyle w:val="Heading2"/>
        <w:numPr>
          <w:ilvl w:val="0"/>
          <w:numId w:val="34"/>
        </w:numPr>
        <w:spacing w:before="120"/>
        <w:ind w:left="924" w:hanging="357"/>
        <w:rPr>
          <w:b w:val="0"/>
          <w:sz w:val="22"/>
          <w:szCs w:val="22"/>
        </w:rPr>
      </w:pPr>
      <w:r w:rsidRPr="00AD7909">
        <w:rPr>
          <w:b w:val="0"/>
          <w:sz w:val="22"/>
          <w:szCs w:val="22"/>
        </w:rPr>
        <w:t>N</w:t>
      </w:r>
      <w:r w:rsidR="003A76EC" w:rsidRPr="00AD7909">
        <w:rPr>
          <w:b w:val="0"/>
          <w:sz w:val="22"/>
          <w:szCs w:val="22"/>
        </w:rPr>
        <w:t xml:space="preserve">umber of SMEs </w:t>
      </w:r>
      <w:r w:rsidR="00B8597E" w:rsidRPr="00AD7909">
        <w:rPr>
          <w:b w:val="0"/>
          <w:sz w:val="22"/>
          <w:szCs w:val="22"/>
        </w:rPr>
        <w:t xml:space="preserve">receiving non-financial </w:t>
      </w:r>
      <w:r w:rsidR="003A76EC" w:rsidRPr="00AD7909">
        <w:rPr>
          <w:b w:val="0"/>
          <w:sz w:val="22"/>
          <w:szCs w:val="22"/>
        </w:rPr>
        <w:t>support</w:t>
      </w:r>
      <w:r w:rsidR="00902E32" w:rsidRPr="00AD7909">
        <w:rPr>
          <w:b w:val="0"/>
          <w:sz w:val="22"/>
          <w:szCs w:val="22"/>
        </w:rPr>
        <w:t>.</w:t>
      </w:r>
    </w:p>
    <w:p w14:paraId="7C3B8778" w14:textId="140E6C21" w:rsidR="00966DD0" w:rsidRPr="00AD7909" w:rsidRDefault="00966DD0" w:rsidP="00AD7909">
      <w:pPr>
        <w:pStyle w:val="Heading2"/>
        <w:numPr>
          <w:ilvl w:val="0"/>
          <w:numId w:val="34"/>
        </w:numPr>
        <w:spacing w:before="120"/>
        <w:ind w:left="924" w:hanging="357"/>
        <w:rPr>
          <w:b w:val="0"/>
          <w:sz w:val="22"/>
          <w:szCs w:val="22"/>
        </w:rPr>
      </w:pPr>
      <w:r w:rsidRPr="00AD7909">
        <w:rPr>
          <w:b w:val="0"/>
          <w:sz w:val="22"/>
          <w:szCs w:val="22"/>
        </w:rPr>
        <w:t xml:space="preserve">Number of the staff trained on ESIF governance system Number of </w:t>
      </w:r>
      <w:r w:rsidR="005A22A6" w:rsidRPr="00AD7909">
        <w:rPr>
          <w:b w:val="0"/>
          <w:sz w:val="22"/>
          <w:szCs w:val="22"/>
        </w:rPr>
        <w:t>workshop and training on IPA project management</w:t>
      </w:r>
    </w:p>
    <w:p w14:paraId="58C12277" w14:textId="0F39B74E" w:rsidR="00BB1BED" w:rsidRPr="00EF5FDC" w:rsidRDefault="00BB1BED" w:rsidP="00150137">
      <w:pPr>
        <w:pStyle w:val="Heading2"/>
        <w:rPr>
          <w:sz w:val="22"/>
          <w:szCs w:val="22"/>
        </w:rPr>
      </w:pPr>
      <w:r w:rsidRPr="00EF5FDC">
        <w:rPr>
          <w:sz w:val="22"/>
          <w:szCs w:val="22"/>
        </w:rPr>
        <w:t>Special requirements</w:t>
      </w:r>
      <w:bookmarkEnd w:id="46"/>
    </w:p>
    <w:p w14:paraId="0454118A" w14:textId="21349398" w:rsidR="00BB1BED" w:rsidRPr="00EF5FDC" w:rsidRDefault="008D1915" w:rsidP="00BB1BED">
      <w:pPr>
        <w:rPr>
          <w:rFonts w:ascii="Times New Roman" w:hAnsi="Times New Roman"/>
          <w:sz w:val="22"/>
          <w:szCs w:val="22"/>
        </w:rPr>
      </w:pPr>
      <w:r w:rsidRPr="00EF5FDC">
        <w:rPr>
          <w:rFonts w:ascii="Times New Roman" w:hAnsi="Times New Roman"/>
          <w:sz w:val="22"/>
          <w:szCs w:val="22"/>
        </w:rPr>
        <w:t>N/A</w:t>
      </w:r>
    </w:p>
    <w:p w14:paraId="1204B3A8" w14:textId="77777777" w:rsidR="00BB1BED" w:rsidRPr="00287A5B" w:rsidRDefault="00BB1BED" w:rsidP="00BB1BED">
      <w:pPr>
        <w:jc w:val="center"/>
        <w:rPr>
          <w:rFonts w:ascii="Times New Roman" w:hAnsi="Times New Roman"/>
          <w:sz w:val="22"/>
          <w:szCs w:val="22"/>
        </w:rPr>
      </w:pPr>
      <w:r w:rsidRPr="00287A5B">
        <w:rPr>
          <w:rFonts w:ascii="Times New Roman" w:hAnsi="Times New Roman"/>
          <w:sz w:val="22"/>
          <w:szCs w:val="22"/>
        </w:rPr>
        <w:t>* * *</w:t>
      </w:r>
    </w:p>
    <w:sectPr w:rsidR="00BB1BED" w:rsidRPr="00287A5B" w:rsidSect="00BB1BED">
      <w:footerReference w:type="default" r:id="rId9"/>
      <w:headerReference w:type="first" r:id="rId10"/>
      <w:footerReference w:type="first" r:id="rId11"/>
      <w:pgSz w:w="11913" w:h="16834" w:code="9"/>
      <w:pgMar w:top="1134" w:right="1418" w:bottom="1418" w:left="1134" w:header="720" w:footer="720" w:gutter="567"/>
      <w:paperSrc w:first="15" w:other="15"/>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C7F82" w16cid:durableId="277390CF"/>
  <w16cid:commentId w16cid:paraId="729FA634" w16cid:durableId="277390D0"/>
  <w16cid:commentId w16cid:paraId="60B0D9D0" w16cid:durableId="277390D1"/>
  <w16cid:commentId w16cid:paraId="73A60935" w16cid:durableId="277390D2"/>
  <w16cid:commentId w16cid:paraId="1D93FC58" w16cid:durableId="277390D3"/>
  <w16cid:commentId w16cid:paraId="655CAEC7" w16cid:durableId="2773C589"/>
  <w16cid:commentId w16cid:paraId="593E31FC" w16cid:durableId="277390D4"/>
  <w16cid:commentId w16cid:paraId="26787B0C" w16cid:durableId="277390D5"/>
  <w16cid:commentId w16cid:paraId="034EB3F5" w16cid:durableId="2773D06C"/>
  <w16cid:commentId w16cid:paraId="25A9A4E7" w16cid:durableId="277390D6"/>
  <w16cid:commentId w16cid:paraId="79503232" w16cid:durableId="277390D7"/>
  <w16cid:commentId w16cid:paraId="08B8B77B" w16cid:durableId="277390D8"/>
  <w16cid:commentId w16cid:paraId="48DD05F9" w16cid:durableId="277390D9"/>
  <w16cid:commentId w16cid:paraId="77E108C2" w16cid:durableId="277390DA"/>
  <w16cid:commentId w16cid:paraId="17C0EE0C" w16cid:durableId="2773D0A5"/>
  <w16cid:commentId w16cid:paraId="55F9744F" w16cid:durableId="2773D25A"/>
  <w16cid:commentId w16cid:paraId="77E93998" w16cid:durableId="27739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0CA60" w14:textId="77777777" w:rsidR="000564BD" w:rsidRDefault="000564BD">
      <w:r>
        <w:separator/>
      </w:r>
    </w:p>
  </w:endnote>
  <w:endnote w:type="continuationSeparator" w:id="0">
    <w:p w14:paraId="0A8828C1" w14:textId="77777777" w:rsidR="000564BD" w:rsidRDefault="0005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roman"/>
    <w:pitch w:val="default"/>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C532" w14:textId="2E1CC08D" w:rsidR="00167958" w:rsidRPr="00157733" w:rsidRDefault="00167958" w:rsidP="00F3332D">
    <w:pPr>
      <w:pStyle w:val="Footer"/>
      <w:tabs>
        <w:tab w:val="left" w:pos="7655"/>
      </w:tabs>
      <w:rPr>
        <w:rFonts w:ascii="Times New Roman" w:hAnsi="Times New Roman"/>
        <w:sz w:val="18"/>
        <w:szCs w:val="18"/>
      </w:rPr>
    </w:pPr>
    <w:r>
      <w:rPr>
        <w:rFonts w:ascii="Times New Roman" w:hAnsi="Times New Roman"/>
        <w:b/>
        <w:snapToGrid w:val="0"/>
        <w:sz w:val="18"/>
        <w:szCs w:val="18"/>
      </w:rPr>
      <w:t>2021.1</w:t>
    </w: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sidR="00C667DE">
      <w:rPr>
        <w:rFonts w:ascii="Times New Roman" w:hAnsi="Times New Roman"/>
        <w:noProof/>
        <w:sz w:val="18"/>
        <w:szCs w:val="18"/>
      </w:rPr>
      <w:t>14</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Pr="00157733">
      <w:rPr>
        <w:rFonts w:ascii="Times New Roman" w:hAnsi="Times New Roman"/>
        <w:sz w:val="18"/>
        <w:szCs w:val="18"/>
      </w:rPr>
      <w:fldChar w:fldCharType="separate"/>
    </w:r>
    <w:r w:rsidR="00C667DE">
      <w:rPr>
        <w:rFonts w:ascii="Times New Roman" w:hAnsi="Times New Roman"/>
        <w:noProof/>
        <w:sz w:val="18"/>
        <w:szCs w:val="18"/>
      </w:rPr>
      <w:t>16</w:t>
    </w:r>
    <w:r w:rsidRPr="00157733">
      <w:rPr>
        <w:rFonts w:ascii="Times New Roman" w:hAnsi="Times New Roman"/>
        <w:sz w:val="18"/>
        <w:szCs w:val="18"/>
      </w:rPr>
      <w:fldChar w:fldCharType="end"/>
    </w:r>
  </w:p>
  <w:p w14:paraId="74CC2B88" w14:textId="44BF9C37" w:rsidR="00167958" w:rsidRPr="00F3332D" w:rsidRDefault="00167958" w:rsidP="00F3332D">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08D" w14:textId="67D63410" w:rsidR="00167958" w:rsidRPr="00157733" w:rsidRDefault="00167958" w:rsidP="00DC5622">
    <w:pPr>
      <w:pStyle w:val="Footer"/>
      <w:tabs>
        <w:tab w:val="left" w:pos="7655"/>
      </w:tabs>
      <w:rPr>
        <w:rFonts w:ascii="Times New Roman" w:hAnsi="Times New Roman"/>
        <w:sz w:val="18"/>
        <w:szCs w:val="18"/>
      </w:rPr>
    </w:pPr>
    <w:r>
      <w:rPr>
        <w:rFonts w:ascii="Times New Roman" w:hAnsi="Times New Roman"/>
        <w:b/>
        <w:snapToGrid w:val="0"/>
        <w:sz w:val="18"/>
        <w:szCs w:val="18"/>
      </w:rPr>
      <w:t>2021.1</w:t>
    </w: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sidR="00C667DE">
      <w:rPr>
        <w:rFonts w:ascii="Times New Roman" w:hAnsi="Times New Roman"/>
        <w:noProof/>
        <w:sz w:val="18"/>
        <w:szCs w:val="18"/>
      </w:rPr>
      <w:t>1</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Pr="00157733">
      <w:rPr>
        <w:rFonts w:ascii="Times New Roman" w:hAnsi="Times New Roman"/>
        <w:sz w:val="18"/>
        <w:szCs w:val="18"/>
      </w:rPr>
      <w:fldChar w:fldCharType="separate"/>
    </w:r>
    <w:r w:rsidR="00C667DE">
      <w:rPr>
        <w:rFonts w:ascii="Times New Roman" w:hAnsi="Times New Roman"/>
        <w:noProof/>
        <w:sz w:val="18"/>
        <w:szCs w:val="18"/>
      </w:rPr>
      <w:t>16</w:t>
    </w:r>
    <w:r w:rsidRPr="00157733">
      <w:rPr>
        <w:rFonts w:ascii="Times New Roman" w:hAnsi="Times New Roman"/>
        <w:sz w:val="18"/>
        <w:szCs w:val="18"/>
      </w:rPr>
      <w:fldChar w:fldCharType="end"/>
    </w:r>
  </w:p>
  <w:p w14:paraId="6E019AD5" w14:textId="7488A39C" w:rsidR="00167958" w:rsidRPr="00DC5622" w:rsidRDefault="00167958" w:rsidP="00DC5622">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E4B4" w14:textId="77777777" w:rsidR="000564BD" w:rsidRDefault="000564BD">
      <w:r>
        <w:separator/>
      </w:r>
    </w:p>
  </w:footnote>
  <w:footnote w:type="continuationSeparator" w:id="0">
    <w:p w14:paraId="17D45662" w14:textId="77777777" w:rsidR="000564BD" w:rsidRDefault="000564BD">
      <w:r>
        <w:continuationSeparator/>
      </w:r>
    </w:p>
  </w:footnote>
  <w:footnote w:id="1">
    <w:p w14:paraId="227005E8" w14:textId="7F3D637E" w:rsidR="00167958" w:rsidRPr="00620691" w:rsidRDefault="00167958" w:rsidP="00620691">
      <w:pPr>
        <w:pStyle w:val="FootnoteText"/>
        <w:spacing w:after="6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rPr>
        <w:t xml:space="preserve"> </w:t>
      </w:r>
      <w:hyperlink r:id="rId1" w:history="1">
        <w:r w:rsidRPr="00620691">
          <w:rPr>
            <w:rStyle w:val="Hyperlink"/>
            <w:rFonts w:ascii="Times New Roman" w:hAnsi="Times New Roman"/>
            <w:sz w:val="18"/>
            <w:szCs w:val="18"/>
          </w:rPr>
          <w:t>Montenegro Report 2022 (europa.eu)</w:t>
        </w:r>
      </w:hyperlink>
    </w:p>
  </w:footnote>
  <w:footnote w:id="2">
    <w:p w14:paraId="33FE5C4B" w14:textId="65397C9B" w:rsidR="00167958" w:rsidRPr="00620691" w:rsidRDefault="00167958" w:rsidP="00620691">
      <w:pPr>
        <w:pStyle w:val="FootnoteText"/>
        <w:spacing w:after="60"/>
        <w:jc w:val="left"/>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lang w:val="sr-Latn-ME"/>
        </w:rPr>
        <w:t xml:space="preserve"> </w:t>
      </w:r>
      <w:hyperlink r:id="rId2" w:history="1">
        <w:r w:rsidRPr="00620691">
          <w:rPr>
            <w:rStyle w:val="Hyperlink"/>
            <w:rFonts w:ascii="Times New Roman" w:hAnsi="Times New Roman"/>
            <w:sz w:val="18"/>
            <w:szCs w:val="18"/>
          </w:rPr>
          <w:t>https</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www</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oecd</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ilibrary</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org</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docserver</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b</w:t>
        </w:r>
        <w:r w:rsidRPr="00620691">
          <w:rPr>
            <w:rStyle w:val="Hyperlink"/>
            <w:rFonts w:ascii="Times New Roman" w:hAnsi="Times New Roman"/>
            <w:sz w:val="18"/>
            <w:szCs w:val="18"/>
            <w:lang w:val="sr-Latn-ME"/>
          </w:rPr>
          <w:t>47</w:t>
        </w:r>
        <w:r w:rsidRPr="00620691">
          <w:rPr>
            <w:rStyle w:val="Hyperlink"/>
            <w:rFonts w:ascii="Times New Roman" w:hAnsi="Times New Roman"/>
            <w:sz w:val="18"/>
            <w:szCs w:val="18"/>
          </w:rPr>
          <w:t>d</w:t>
        </w:r>
        <w:r w:rsidRPr="00620691">
          <w:rPr>
            <w:rStyle w:val="Hyperlink"/>
            <w:rFonts w:ascii="Times New Roman" w:hAnsi="Times New Roman"/>
            <w:sz w:val="18"/>
            <w:szCs w:val="18"/>
            <w:lang w:val="sr-Latn-ME"/>
          </w:rPr>
          <w:t>15</w:t>
        </w:r>
        <w:r w:rsidRPr="00620691">
          <w:rPr>
            <w:rStyle w:val="Hyperlink"/>
            <w:rFonts w:ascii="Times New Roman" w:hAnsi="Times New Roman"/>
            <w:sz w:val="18"/>
            <w:szCs w:val="18"/>
          </w:rPr>
          <w:t>f</w:t>
        </w:r>
        <w:r w:rsidRPr="00620691">
          <w:rPr>
            <w:rStyle w:val="Hyperlink"/>
            <w:rFonts w:ascii="Times New Roman" w:hAnsi="Times New Roman"/>
            <w:sz w:val="18"/>
            <w:szCs w:val="18"/>
            <w:lang w:val="sr-Latn-ME"/>
          </w:rPr>
          <w:t>0-</w:t>
        </w:r>
        <w:r w:rsidRPr="00620691">
          <w:rPr>
            <w:rStyle w:val="Hyperlink"/>
            <w:rFonts w:ascii="Times New Roman" w:hAnsi="Times New Roman"/>
            <w:sz w:val="18"/>
            <w:szCs w:val="18"/>
          </w:rPr>
          <w:t>en</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pdf</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expires</w:t>
        </w:r>
        <w:r w:rsidRPr="00620691">
          <w:rPr>
            <w:rStyle w:val="Hyperlink"/>
            <w:rFonts w:ascii="Times New Roman" w:hAnsi="Times New Roman"/>
            <w:sz w:val="18"/>
            <w:szCs w:val="18"/>
            <w:lang w:val="sr-Latn-ME"/>
          </w:rPr>
          <w:t>=1673960022&amp;</w:t>
        </w:r>
        <w:r w:rsidRPr="00620691">
          <w:rPr>
            <w:rStyle w:val="Hyperlink"/>
            <w:rFonts w:ascii="Times New Roman" w:hAnsi="Times New Roman"/>
            <w:sz w:val="18"/>
            <w:szCs w:val="18"/>
          </w:rPr>
          <w:t>id</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id</w:t>
        </w:r>
        <w:r w:rsidRPr="00620691">
          <w:rPr>
            <w:rStyle w:val="Hyperlink"/>
            <w:rFonts w:ascii="Times New Roman" w:hAnsi="Times New Roman"/>
            <w:sz w:val="18"/>
            <w:szCs w:val="18"/>
            <w:lang w:val="sr-Latn-ME"/>
          </w:rPr>
          <w:t>&amp;</w:t>
        </w:r>
        <w:r w:rsidRPr="00620691">
          <w:rPr>
            <w:rStyle w:val="Hyperlink"/>
            <w:rFonts w:ascii="Times New Roman" w:hAnsi="Times New Roman"/>
            <w:sz w:val="18"/>
            <w:szCs w:val="18"/>
          </w:rPr>
          <w:t>accname</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guest</w:t>
        </w:r>
        <w:r w:rsidRPr="00620691">
          <w:rPr>
            <w:rStyle w:val="Hyperlink"/>
            <w:rFonts w:ascii="Times New Roman" w:hAnsi="Times New Roman"/>
            <w:sz w:val="18"/>
            <w:szCs w:val="18"/>
            <w:lang w:val="sr-Latn-ME"/>
          </w:rPr>
          <w:t>&amp;</w:t>
        </w:r>
        <w:r w:rsidRPr="00620691">
          <w:rPr>
            <w:rStyle w:val="Hyperlink"/>
            <w:rFonts w:ascii="Times New Roman" w:hAnsi="Times New Roman"/>
            <w:sz w:val="18"/>
            <w:szCs w:val="18"/>
          </w:rPr>
          <w:t>checksum</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FC</w:t>
        </w:r>
        <w:r w:rsidRPr="00620691">
          <w:rPr>
            <w:rStyle w:val="Hyperlink"/>
            <w:rFonts w:ascii="Times New Roman" w:hAnsi="Times New Roman"/>
            <w:sz w:val="18"/>
            <w:szCs w:val="18"/>
            <w:lang w:val="sr-Latn-ME"/>
          </w:rPr>
          <w:t>065</w:t>
        </w:r>
        <w:r w:rsidRPr="00620691">
          <w:rPr>
            <w:rStyle w:val="Hyperlink"/>
            <w:rFonts w:ascii="Times New Roman" w:hAnsi="Times New Roman"/>
            <w:sz w:val="18"/>
            <w:szCs w:val="18"/>
          </w:rPr>
          <w:t>EF</w:t>
        </w:r>
        <w:r w:rsidRPr="00620691">
          <w:rPr>
            <w:rStyle w:val="Hyperlink"/>
            <w:rFonts w:ascii="Times New Roman" w:hAnsi="Times New Roman"/>
            <w:sz w:val="18"/>
            <w:szCs w:val="18"/>
            <w:lang w:val="sr-Latn-ME"/>
          </w:rPr>
          <w:t>4038</w:t>
        </w:r>
        <w:r w:rsidRPr="00620691">
          <w:rPr>
            <w:rStyle w:val="Hyperlink"/>
            <w:rFonts w:ascii="Times New Roman" w:hAnsi="Times New Roman"/>
            <w:sz w:val="18"/>
            <w:szCs w:val="18"/>
          </w:rPr>
          <w:t>B</w:t>
        </w:r>
        <w:r w:rsidRPr="00620691">
          <w:rPr>
            <w:rStyle w:val="Hyperlink"/>
            <w:rFonts w:ascii="Times New Roman" w:hAnsi="Times New Roman"/>
            <w:sz w:val="18"/>
            <w:szCs w:val="18"/>
            <w:lang w:val="sr-Latn-ME"/>
          </w:rPr>
          <w:t>803</w:t>
        </w:r>
        <w:r w:rsidRPr="00620691">
          <w:rPr>
            <w:rStyle w:val="Hyperlink"/>
            <w:rFonts w:ascii="Times New Roman" w:hAnsi="Times New Roman"/>
            <w:sz w:val="18"/>
            <w:szCs w:val="18"/>
          </w:rPr>
          <w:t>AF</w:t>
        </w:r>
        <w:r w:rsidRPr="00620691">
          <w:rPr>
            <w:rStyle w:val="Hyperlink"/>
            <w:rFonts w:ascii="Times New Roman" w:hAnsi="Times New Roman"/>
            <w:sz w:val="18"/>
            <w:szCs w:val="18"/>
            <w:lang w:val="sr-Latn-ME"/>
          </w:rPr>
          <w:t>4</w:t>
        </w:r>
        <w:r w:rsidRPr="00620691">
          <w:rPr>
            <w:rStyle w:val="Hyperlink"/>
            <w:rFonts w:ascii="Times New Roman" w:hAnsi="Times New Roman"/>
            <w:sz w:val="18"/>
            <w:szCs w:val="18"/>
          </w:rPr>
          <w:t>EB</w:t>
        </w:r>
        <w:r w:rsidRPr="00620691">
          <w:rPr>
            <w:rStyle w:val="Hyperlink"/>
            <w:rFonts w:ascii="Times New Roman" w:hAnsi="Times New Roman"/>
            <w:sz w:val="18"/>
            <w:szCs w:val="18"/>
            <w:lang w:val="sr-Latn-ME"/>
          </w:rPr>
          <w:t>7</w:t>
        </w:r>
        <w:r w:rsidRPr="00620691">
          <w:rPr>
            <w:rStyle w:val="Hyperlink"/>
            <w:rFonts w:ascii="Times New Roman" w:hAnsi="Times New Roman"/>
            <w:sz w:val="18"/>
            <w:szCs w:val="18"/>
          </w:rPr>
          <w:t>D</w:t>
        </w:r>
        <w:r w:rsidRPr="00620691">
          <w:rPr>
            <w:rStyle w:val="Hyperlink"/>
            <w:rFonts w:ascii="Times New Roman" w:hAnsi="Times New Roman"/>
            <w:sz w:val="18"/>
            <w:szCs w:val="18"/>
            <w:lang w:val="sr-Latn-ME"/>
          </w:rPr>
          <w:t>25</w:t>
        </w:r>
        <w:r w:rsidRPr="00620691">
          <w:rPr>
            <w:rStyle w:val="Hyperlink"/>
            <w:rFonts w:ascii="Times New Roman" w:hAnsi="Times New Roman"/>
            <w:sz w:val="18"/>
            <w:szCs w:val="18"/>
          </w:rPr>
          <w:t>C</w:t>
        </w:r>
        <w:r w:rsidRPr="00620691">
          <w:rPr>
            <w:rStyle w:val="Hyperlink"/>
            <w:rFonts w:ascii="Times New Roman" w:hAnsi="Times New Roman"/>
            <w:sz w:val="18"/>
            <w:szCs w:val="18"/>
            <w:lang w:val="sr-Latn-ME"/>
          </w:rPr>
          <w:t>18966</w:t>
        </w:r>
        <w:r w:rsidRPr="00620691">
          <w:rPr>
            <w:rStyle w:val="Hyperlink"/>
            <w:rFonts w:ascii="Times New Roman" w:hAnsi="Times New Roman"/>
            <w:sz w:val="18"/>
            <w:szCs w:val="18"/>
          </w:rPr>
          <w:t>CE</w:t>
        </w:r>
      </w:hyperlink>
      <w:r w:rsidRPr="00620691">
        <w:rPr>
          <w:rFonts w:ascii="Times New Roman" w:hAnsi="Times New Roman"/>
          <w:sz w:val="18"/>
          <w:szCs w:val="18"/>
          <w:lang w:val="sr-Latn-ME"/>
        </w:rPr>
        <w:t xml:space="preserve"> </w:t>
      </w:r>
      <w:r w:rsidRPr="00620691" w:rsidDel="00102F14">
        <w:rPr>
          <w:rFonts w:ascii="Times New Roman" w:hAnsi="Times New Roman"/>
          <w:sz w:val="18"/>
          <w:szCs w:val="18"/>
          <w:lang w:val="sr-Latn-ME"/>
        </w:rPr>
        <w:t xml:space="preserve"> </w:t>
      </w:r>
      <w:r w:rsidRPr="00620691">
        <w:rPr>
          <w:rFonts w:ascii="Times New Roman" w:hAnsi="Times New Roman"/>
          <w:sz w:val="18"/>
          <w:szCs w:val="18"/>
          <w:lang w:val="sr-Latn-ME"/>
        </w:rPr>
        <w:t xml:space="preserve"> </w:t>
      </w:r>
    </w:p>
  </w:footnote>
  <w:footnote w:id="3">
    <w:p w14:paraId="2ABB340D" w14:textId="6FBF676F" w:rsidR="00167958" w:rsidRPr="00620691" w:rsidRDefault="00167958" w:rsidP="00620691">
      <w:pPr>
        <w:pStyle w:val="FootnoteText"/>
        <w:spacing w:after="6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lang w:val="sr-Latn-ME"/>
        </w:rPr>
        <w:t xml:space="preserve"> </w:t>
      </w:r>
      <w:hyperlink r:id="rId3" w:history="1">
        <w:r w:rsidRPr="00620691">
          <w:rPr>
            <w:rStyle w:val="Hyperlink"/>
            <w:rFonts w:ascii="Times New Roman" w:hAnsi="Times New Roman"/>
            <w:sz w:val="18"/>
            <w:szCs w:val="18"/>
          </w:rPr>
          <w:t>https</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www</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gov</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me</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en</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documents</w:t>
        </w:r>
        <w:r w:rsidRPr="00620691">
          <w:rPr>
            <w:rStyle w:val="Hyperlink"/>
            <w:rFonts w:ascii="Times New Roman" w:hAnsi="Times New Roman"/>
            <w:sz w:val="18"/>
            <w:szCs w:val="18"/>
            <w:lang w:val="sr-Latn-ME"/>
          </w:rPr>
          <w:t>/7049</w:t>
        </w:r>
        <w:r w:rsidRPr="00620691">
          <w:rPr>
            <w:rStyle w:val="Hyperlink"/>
            <w:rFonts w:ascii="Times New Roman" w:hAnsi="Times New Roman"/>
            <w:sz w:val="18"/>
            <w:szCs w:val="18"/>
          </w:rPr>
          <w:t>c</w:t>
        </w:r>
        <w:r w:rsidRPr="00620691">
          <w:rPr>
            <w:rStyle w:val="Hyperlink"/>
            <w:rFonts w:ascii="Times New Roman" w:hAnsi="Times New Roman"/>
            <w:sz w:val="18"/>
            <w:szCs w:val="18"/>
            <w:lang w:val="sr-Latn-ME"/>
          </w:rPr>
          <w:t>66</w:t>
        </w:r>
        <w:r w:rsidRPr="00620691">
          <w:rPr>
            <w:rStyle w:val="Hyperlink"/>
            <w:rFonts w:ascii="Times New Roman" w:hAnsi="Times New Roman"/>
            <w:sz w:val="18"/>
            <w:szCs w:val="18"/>
          </w:rPr>
          <w:t>a</w:t>
        </w:r>
        <w:r w:rsidRPr="00620691">
          <w:rPr>
            <w:rStyle w:val="Hyperlink"/>
            <w:rFonts w:ascii="Times New Roman" w:hAnsi="Times New Roman"/>
            <w:sz w:val="18"/>
            <w:szCs w:val="18"/>
            <w:lang w:val="sr-Latn-ME"/>
          </w:rPr>
          <w:t>-5</w:t>
        </w:r>
        <w:r w:rsidRPr="00620691">
          <w:rPr>
            <w:rStyle w:val="Hyperlink"/>
            <w:rFonts w:ascii="Times New Roman" w:hAnsi="Times New Roman"/>
            <w:sz w:val="18"/>
            <w:szCs w:val="18"/>
          </w:rPr>
          <w:t>b</w:t>
        </w:r>
        <w:r w:rsidRPr="00620691">
          <w:rPr>
            <w:rStyle w:val="Hyperlink"/>
            <w:rFonts w:ascii="Times New Roman" w:hAnsi="Times New Roman"/>
            <w:sz w:val="18"/>
            <w:szCs w:val="18"/>
            <w:lang w:val="sr-Latn-ME"/>
          </w:rPr>
          <w:t>87-4102-9</w:t>
        </w:r>
        <w:r w:rsidRPr="00620691">
          <w:rPr>
            <w:rStyle w:val="Hyperlink"/>
            <w:rFonts w:ascii="Times New Roman" w:hAnsi="Times New Roman"/>
            <w:sz w:val="18"/>
            <w:szCs w:val="18"/>
          </w:rPr>
          <w:t>d</w:t>
        </w:r>
        <w:r w:rsidRPr="00620691">
          <w:rPr>
            <w:rStyle w:val="Hyperlink"/>
            <w:rFonts w:ascii="Times New Roman" w:hAnsi="Times New Roman"/>
            <w:sz w:val="18"/>
            <w:szCs w:val="18"/>
            <w:lang w:val="sr-Latn-ME"/>
          </w:rPr>
          <w:t>2</w:t>
        </w:r>
        <w:r w:rsidRPr="00620691">
          <w:rPr>
            <w:rStyle w:val="Hyperlink"/>
            <w:rFonts w:ascii="Times New Roman" w:hAnsi="Times New Roman"/>
            <w:sz w:val="18"/>
            <w:szCs w:val="18"/>
          </w:rPr>
          <w:t>e</w:t>
        </w:r>
        <w:r w:rsidRPr="00620691">
          <w:rPr>
            <w:rStyle w:val="Hyperlink"/>
            <w:rFonts w:ascii="Times New Roman" w:hAnsi="Times New Roman"/>
            <w:sz w:val="18"/>
            <w:szCs w:val="18"/>
            <w:lang w:val="sr-Latn-ME"/>
          </w:rPr>
          <w:t>-6</w:t>
        </w:r>
        <w:r w:rsidRPr="00620691">
          <w:rPr>
            <w:rStyle w:val="Hyperlink"/>
            <w:rFonts w:ascii="Times New Roman" w:hAnsi="Times New Roman"/>
            <w:sz w:val="18"/>
            <w:szCs w:val="18"/>
          </w:rPr>
          <w:t>fde</w:t>
        </w:r>
        <w:r w:rsidRPr="00620691">
          <w:rPr>
            <w:rStyle w:val="Hyperlink"/>
            <w:rFonts w:ascii="Times New Roman" w:hAnsi="Times New Roman"/>
            <w:sz w:val="18"/>
            <w:szCs w:val="18"/>
            <w:lang w:val="sr-Latn-ME"/>
          </w:rPr>
          <w:t>9</w:t>
        </w:r>
        <w:r w:rsidRPr="00620691">
          <w:rPr>
            <w:rStyle w:val="Hyperlink"/>
            <w:rFonts w:ascii="Times New Roman" w:hAnsi="Times New Roman"/>
            <w:sz w:val="18"/>
            <w:szCs w:val="18"/>
          </w:rPr>
          <w:t>c</w:t>
        </w:r>
        <w:r w:rsidRPr="00620691">
          <w:rPr>
            <w:rStyle w:val="Hyperlink"/>
            <w:rFonts w:ascii="Times New Roman" w:hAnsi="Times New Roman"/>
            <w:sz w:val="18"/>
            <w:szCs w:val="18"/>
            <w:lang w:val="sr-Latn-ME"/>
          </w:rPr>
          <w:t>24</w:t>
        </w:r>
        <w:r w:rsidRPr="00620691">
          <w:rPr>
            <w:rStyle w:val="Hyperlink"/>
            <w:rFonts w:ascii="Times New Roman" w:hAnsi="Times New Roman"/>
            <w:sz w:val="18"/>
            <w:szCs w:val="18"/>
          </w:rPr>
          <w:t>fd</w:t>
        </w:r>
        <w:r w:rsidRPr="00620691">
          <w:rPr>
            <w:rStyle w:val="Hyperlink"/>
            <w:rFonts w:ascii="Times New Roman" w:hAnsi="Times New Roman"/>
            <w:sz w:val="18"/>
            <w:szCs w:val="18"/>
            <w:lang w:val="sr-Latn-ME"/>
          </w:rPr>
          <w:t>5</w:t>
        </w:r>
        <w:r w:rsidRPr="00620691">
          <w:rPr>
            <w:rStyle w:val="Hyperlink"/>
            <w:rFonts w:ascii="Times New Roman" w:hAnsi="Times New Roman"/>
            <w:sz w:val="18"/>
            <w:szCs w:val="18"/>
          </w:rPr>
          <w:t>d</w:t>
        </w:r>
      </w:hyperlink>
      <w:r w:rsidRPr="00620691">
        <w:rPr>
          <w:rFonts w:ascii="Times New Roman" w:hAnsi="Times New Roman"/>
          <w:sz w:val="18"/>
          <w:szCs w:val="18"/>
          <w:lang w:val="sr-Latn-ME"/>
        </w:rPr>
        <w:t xml:space="preserve"> </w:t>
      </w:r>
    </w:p>
  </w:footnote>
  <w:footnote w:id="4">
    <w:p w14:paraId="25EB3016" w14:textId="1FE6CE7F" w:rsidR="00167958" w:rsidRPr="00620691" w:rsidRDefault="00167958" w:rsidP="00620691">
      <w:pPr>
        <w:pStyle w:val="FootnoteText"/>
        <w:spacing w:after="6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lang w:val="sr-Latn-ME"/>
        </w:rPr>
        <w:t xml:space="preserve"> </w:t>
      </w:r>
      <w:hyperlink r:id="rId4" w:history="1">
        <w:r w:rsidRPr="00620691">
          <w:rPr>
            <w:rStyle w:val="Hyperlink"/>
            <w:rFonts w:ascii="Times New Roman" w:hAnsi="Times New Roman"/>
            <w:sz w:val="18"/>
            <w:szCs w:val="18"/>
          </w:rPr>
          <w:t>https</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www</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sdgindex</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org</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reports</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sustainable</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development</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report</w:t>
        </w:r>
        <w:r w:rsidRPr="00620691">
          <w:rPr>
            <w:rStyle w:val="Hyperlink"/>
            <w:rFonts w:ascii="Times New Roman" w:hAnsi="Times New Roman"/>
            <w:sz w:val="18"/>
            <w:szCs w:val="18"/>
            <w:lang w:val="sr-Latn-ME"/>
          </w:rPr>
          <w:t>-2021/</w:t>
        </w:r>
      </w:hyperlink>
      <w:r w:rsidRPr="00620691">
        <w:rPr>
          <w:rFonts w:ascii="Times New Roman" w:hAnsi="Times New Roman"/>
          <w:sz w:val="18"/>
          <w:szCs w:val="18"/>
          <w:lang w:val="sr-Latn-ME"/>
        </w:rPr>
        <w:t xml:space="preserve"> </w:t>
      </w:r>
    </w:p>
  </w:footnote>
  <w:footnote w:id="5">
    <w:p w14:paraId="00F8DB0A" w14:textId="77777777" w:rsidR="00167958" w:rsidRPr="00620691" w:rsidRDefault="00167958" w:rsidP="00620691">
      <w:pPr>
        <w:pStyle w:val="FootnoteText"/>
        <w:spacing w:after="60"/>
        <w:ind w:left="0" w:firstLine="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rPr>
        <w:t xml:space="preserve"> The </w:t>
      </w:r>
      <w:r w:rsidRPr="00620691">
        <w:rPr>
          <w:rFonts w:ascii="Times New Roman" w:hAnsi="Times New Roman"/>
          <w:sz w:val="18"/>
          <w:szCs w:val="18"/>
          <w:lang w:val="sr-Latn-ME"/>
        </w:rPr>
        <w:t xml:space="preserve">According to the </w:t>
      </w:r>
      <w:r w:rsidRPr="00620691">
        <w:rPr>
          <w:rFonts w:ascii="Times New Roman" w:hAnsi="Times New Roman"/>
          <w:sz w:val="18"/>
          <w:szCs w:val="18"/>
        </w:rPr>
        <w:t>methodology d</w:t>
      </w:r>
      <w:r w:rsidRPr="00620691">
        <w:rPr>
          <w:rFonts w:ascii="Times New Roman" w:hAnsi="Times New Roman"/>
          <w:sz w:val="18"/>
          <w:szCs w:val="18"/>
          <w:lang w:val="sr-Latn-ME"/>
        </w:rPr>
        <w:t xml:space="preserve">esigned by the European Bank for Reconstruction and Development (EBRD) a sustainable market economy must be competitive, well governed, green, inclusive, resistant to external shocks and integrated. According to this methodlogy countries in transition are evaluated on the bases of the six criteria mentioned above on a scale 1 (minimum) to 10 (maximum). </w:t>
      </w:r>
    </w:p>
  </w:footnote>
  <w:footnote w:id="6">
    <w:p w14:paraId="14B3C8AD" w14:textId="419992A4" w:rsidR="00167958" w:rsidRPr="00620691" w:rsidRDefault="00167958" w:rsidP="00620691">
      <w:pPr>
        <w:pStyle w:val="FootnoteText"/>
        <w:spacing w:after="60"/>
        <w:ind w:left="0" w:firstLine="0"/>
        <w:rPr>
          <w:rFonts w:ascii="Times New Roman" w:hAnsi="Times New Roman"/>
          <w:sz w:val="18"/>
          <w:szCs w:val="18"/>
        </w:rPr>
      </w:pPr>
      <w:r w:rsidRPr="00620691">
        <w:rPr>
          <w:rStyle w:val="FootnoteReference"/>
          <w:rFonts w:ascii="Times New Roman" w:hAnsi="Times New Roman"/>
          <w:sz w:val="18"/>
          <w:szCs w:val="18"/>
        </w:rPr>
        <w:footnoteRef/>
      </w:r>
      <w:r w:rsidRPr="00620691">
        <w:rPr>
          <w:rFonts w:ascii="Times New Roman" w:hAnsi="Times New Roman"/>
          <w:sz w:val="18"/>
          <w:szCs w:val="18"/>
        </w:rPr>
        <w:t xml:space="preserve"> Investment Development Fund operates several credit lines for direct financing of investment project. The Fund core businesses is established through granting loans and extending guarantees, performing activities pertaining to the sale of capital in Fund’s portfolio and other activities aimed at supporting economic development in Montenegro. </w:t>
      </w:r>
    </w:p>
  </w:footnote>
  <w:footnote w:id="7">
    <w:p w14:paraId="50265D87" w14:textId="77777777" w:rsidR="00167958" w:rsidRPr="00620691" w:rsidRDefault="00167958" w:rsidP="00620691">
      <w:pPr>
        <w:pStyle w:val="FootnoteText"/>
        <w:spacing w:after="60"/>
        <w:ind w:left="0" w:firstLine="0"/>
        <w:rPr>
          <w:rFonts w:ascii="Times New Roman" w:hAnsi="Times New Roman"/>
          <w:sz w:val="18"/>
          <w:szCs w:val="18"/>
        </w:rPr>
      </w:pPr>
      <w:r w:rsidRPr="00620691">
        <w:rPr>
          <w:rStyle w:val="FootnoteReference"/>
          <w:rFonts w:ascii="Times New Roman" w:hAnsi="Times New Roman"/>
          <w:sz w:val="18"/>
          <w:szCs w:val="18"/>
        </w:rPr>
        <w:footnoteRef/>
      </w:r>
      <w:r w:rsidRPr="00620691">
        <w:rPr>
          <w:rFonts w:ascii="Times New Roman" w:hAnsi="Times New Roman"/>
          <w:sz w:val="18"/>
          <w:szCs w:val="18"/>
          <w:lang w:val="sr-Cyrl-RS"/>
        </w:rPr>
        <w:t>2016</w:t>
      </w:r>
      <w:r w:rsidRPr="00620691">
        <w:rPr>
          <w:rFonts w:ascii="Times New Roman" w:hAnsi="Times New Roman"/>
          <w:sz w:val="18"/>
          <w:szCs w:val="18"/>
          <w:lang w:val="sr-Latn-ME"/>
        </w:rPr>
        <w:t xml:space="preserve"> </w:t>
      </w:r>
      <w:r w:rsidRPr="00620691">
        <w:rPr>
          <w:rFonts w:ascii="Times New Roman" w:hAnsi="Times New Roman"/>
          <w:sz w:val="18"/>
          <w:szCs w:val="18"/>
          <w:lang w:val="sr-Cyrl-RS"/>
        </w:rPr>
        <w:t xml:space="preserve">WB </w:t>
      </w:r>
      <w:r w:rsidRPr="00620691">
        <w:rPr>
          <w:rFonts w:ascii="Times New Roman" w:hAnsi="Times New Roman"/>
          <w:sz w:val="18"/>
          <w:szCs w:val="18"/>
        </w:rPr>
        <w:t>Financial sector assessment program</w:t>
      </w:r>
      <w:r w:rsidRPr="00620691">
        <w:rPr>
          <w:rFonts w:ascii="Times New Roman" w:hAnsi="Times New Roman"/>
          <w:sz w:val="18"/>
          <w:szCs w:val="18"/>
          <w:lang w:val="sr-Cyrl-RS"/>
        </w:rPr>
        <w:t xml:space="preserve"> </w:t>
      </w:r>
      <w:r w:rsidRPr="00620691">
        <w:rPr>
          <w:rFonts w:ascii="Times New Roman" w:hAnsi="Times New Roman"/>
          <w:sz w:val="18"/>
          <w:szCs w:val="18"/>
        </w:rPr>
        <w:t>Montenegro</w:t>
      </w:r>
      <w:r w:rsidRPr="00620691">
        <w:rPr>
          <w:rFonts w:ascii="Times New Roman" w:hAnsi="Times New Roman"/>
          <w:sz w:val="18"/>
          <w:szCs w:val="18"/>
          <w:lang w:val="sr-Latn-ME"/>
        </w:rPr>
        <w:t xml:space="preserve"> </w:t>
      </w:r>
      <w:r w:rsidRPr="00620691">
        <w:rPr>
          <w:rFonts w:ascii="Times New Roman" w:hAnsi="Times New Roman"/>
          <w:sz w:val="18"/>
          <w:szCs w:val="18"/>
        </w:rPr>
        <w:t>Technical note</w:t>
      </w:r>
      <w:r w:rsidRPr="00620691">
        <w:rPr>
          <w:rFonts w:ascii="Times New Roman" w:hAnsi="Times New Roman"/>
          <w:sz w:val="18"/>
          <w:szCs w:val="18"/>
          <w:lang w:val="sr-Cyrl-RS"/>
        </w:rPr>
        <w:t xml:space="preserve"> </w:t>
      </w:r>
      <w:r w:rsidRPr="00620691">
        <w:rPr>
          <w:rFonts w:ascii="Times New Roman" w:hAnsi="Times New Roman"/>
          <w:sz w:val="18"/>
          <w:szCs w:val="18"/>
        </w:rPr>
        <w:t>Finance</w:t>
      </w:r>
      <w:r w:rsidRPr="00620691">
        <w:rPr>
          <w:rFonts w:ascii="Times New Roman" w:hAnsi="Times New Roman"/>
          <w:sz w:val="18"/>
          <w:szCs w:val="18"/>
          <w:lang w:val="sr-Cyrl-RS"/>
        </w:rPr>
        <w:t xml:space="preserve"> </w:t>
      </w:r>
      <w:r w:rsidRPr="00620691">
        <w:rPr>
          <w:rFonts w:ascii="Times New Roman" w:hAnsi="Times New Roman"/>
          <w:sz w:val="18"/>
          <w:szCs w:val="18"/>
        </w:rPr>
        <w:t xml:space="preserve">for Growth, available at: </w:t>
      </w:r>
      <w:hyperlink r:id="rId5" w:history="1">
        <w:r w:rsidRPr="00620691">
          <w:rPr>
            <w:rStyle w:val="Hyperlink"/>
            <w:rFonts w:ascii="Times New Roman" w:hAnsi="Times New Roman"/>
            <w:sz w:val="18"/>
            <w:szCs w:val="18"/>
          </w:rPr>
          <w:t>http://documents.worldbank.org/curated/en/184741521447462800/pdf/124361-PN-P144969-PUBLIC-MNEGenderPolicyNote.pdf</w:t>
        </w:r>
      </w:hyperlink>
      <w:r w:rsidRPr="00620691">
        <w:rPr>
          <w:rFonts w:ascii="Times New Roman" w:hAnsi="Times New Roman"/>
          <w:sz w:val="18"/>
          <w:szCs w:val="18"/>
        </w:rPr>
        <w:t xml:space="preserve">. </w:t>
      </w:r>
    </w:p>
    <w:p w14:paraId="6ADEE539" w14:textId="77777777" w:rsidR="00167958" w:rsidRPr="00620691" w:rsidRDefault="00167958" w:rsidP="00620691">
      <w:pPr>
        <w:pStyle w:val="FootnoteText"/>
        <w:spacing w:after="60"/>
        <w:rPr>
          <w:rFonts w:ascii="Times New Roman" w:hAnsi="Times New Roman"/>
          <w:sz w:val="18"/>
          <w:szCs w:val="18"/>
          <w:lang w:val="sr-Cyrl-RS"/>
        </w:rPr>
      </w:pPr>
    </w:p>
  </w:footnote>
  <w:footnote w:id="8">
    <w:p w14:paraId="10DC23F9" w14:textId="77777777" w:rsidR="00167958" w:rsidRPr="00620691" w:rsidRDefault="00167958" w:rsidP="00620691">
      <w:pPr>
        <w:pStyle w:val="FootnoteText"/>
        <w:spacing w:after="6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lang w:val="sr-Cyrl-RS"/>
        </w:rPr>
        <w:t xml:space="preserve"> </w:t>
      </w:r>
      <w:hyperlink r:id="rId6" w:history="1">
        <w:r w:rsidRPr="00620691">
          <w:rPr>
            <w:rStyle w:val="Hyperlink"/>
            <w:rFonts w:ascii="Times New Roman" w:hAnsi="Times New Roman"/>
            <w:sz w:val="18"/>
            <w:szCs w:val="18"/>
          </w:rPr>
          <w:t>https</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www</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ebrd</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com</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news</w:t>
        </w:r>
        <w:r w:rsidRPr="00620691">
          <w:rPr>
            <w:rStyle w:val="Hyperlink"/>
            <w:rFonts w:ascii="Times New Roman" w:hAnsi="Times New Roman"/>
            <w:sz w:val="18"/>
            <w:szCs w:val="18"/>
            <w:lang w:val="sr-Cyrl-RS"/>
          </w:rPr>
          <w:t>/2021/</w:t>
        </w:r>
        <w:r w:rsidRPr="00620691">
          <w:rPr>
            <w:rStyle w:val="Hyperlink"/>
            <w:rFonts w:ascii="Times New Roman" w:hAnsi="Times New Roman"/>
            <w:sz w:val="18"/>
            <w:szCs w:val="18"/>
          </w:rPr>
          <w:t>ebrd</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eu</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and</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montenegro</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enhance</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smes</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access</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to</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business</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advice</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and</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information</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services</w:t>
        </w:r>
        <w:r w:rsidRPr="00620691">
          <w:rPr>
            <w:rStyle w:val="Hyperlink"/>
            <w:rFonts w:ascii="Times New Roman" w:hAnsi="Times New Roman"/>
            <w:sz w:val="18"/>
            <w:szCs w:val="18"/>
            <w:lang w:val="sr-Cyrl-RS"/>
          </w:rPr>
          <w:t>.</w:t>
        </w:r>
        <w:r w:rsidRPr="00620691">
          <w:rPr>
            <w:rStyle w:val="Hyperlink"/>
            <w:rFonts w:ascii="Times New Roman" w:hAnsi="Times New Roman"/>
            <w:sz w:val="18"/>
            <w:szCs w:val="18"/>
          </w:rPr>
          <w:t>html</w:t>
        </w:r>
      </w:hyperlink>
      <w:r w:rsidRPr="00620691">
        <w:rPr>
          <w:rFonts w:ascii="Times New Roman" w:hAnsi="Times New Roman"/>
          <w:sz w:val="18"/>
          <w:szCs w:val="18"/>
          <w:lang w:val="sr-Cyrl-RS"/>
        </w:rPr>
        <w:t xml:space="preserve"> </w:t>
      </w:r>
    </w:p>
  </w:footnote>
  <w:footnote w:id="9">
    <w:p w14:paraId="36785D59" w14:textId="0F6C7120" w:rsidR="00167958" w:rsidRPr="00620691" w:rsidRDefault="00167958" w:rsidP="00620691">
      <w:pPr>
        <w:pStyle w:val="FootnoteText"/>
        <w:spacing w:after="6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rPr>
        <w:t xml:space="preserve"> </w:t>
      </w:r>
      <w:r w:rsidRPr="00620691">
        <w:rPr>
          <w:rFonts w:ascii="Times New Roman" w:hAnsi="Times New Roman"/>
          <w:sz w:val="18"/>
          <w:szCs w:val="18"/>
          <w:lang w:val="en-US"/>
        </w:rPr>
        <w:t>Grant scheme for supporting the implementation of Smart Specialisation Strategy through projects and Grant Scheme Enhancing the Competitiveness of SMEs through Support for Women and Youth Entrepreneurship</w:t>
      </w:r>
    </w:p>
  </w:footnote>
  <w:footnote w:id="10">
    <w:p w14:paraId="726FF9D6" w14:textId="77777777" w:rsidR="00167958" w:rsidRPr="00620691" w:rsidRDefault="00167958" w:rsidP="00620691">
      <w:pPr>
        <w:pStyle w:val="FootnoteText"/>
        <w:spacing w:after="60"/>
        <w:rPr>
          <w:rFonts w:ascii="Times New Roman" w:hAnsi="Times New Roman"/>
          <w:sz w:val="18"/>
          <w:szCs w:val="18"/>
          <w:lang w:val="sr-Latn-ME"/>
        </w:rPr>
      </w:pPr>
      <w:r w:rsidRPr="00620691">
        <w:rPr>
          <w:rStyle w:val="FootnoteReference"/>
          <w:rFonts w:ascii="Times New Roman" w:hAnsi="Times New Roman"/>
          <w:sz w:val="18"/>
          <w:szCs w:val="18"/>
        </w:rPr>
        <w:footnoteRef/>
      </w:r>
      <w:r w:rsidRPr="00620691">
        <w:rPr>
          <w:rFonts w:ascii="Times New Roman" w:hAnsi="Times New Roman"/>
          <w:sz w:val="18"/>
          <w:szCs w:val="18"/>
          <w:lang w:val="sr-Latn-ME"/>
        </w:rPr>
        <w:t xml:space="preserve"> </w:t>
      </w:r>
      <w:hyperlink r:id="rId7" w:history="1">
        <w:r w:rsidRPr="00620691">
          <w:rPr>
            <w:rStyle w:val="Hyperlink"/>
            <w:rFonts w:ascii="Times New Roman" w:hAnsi="Times New Roman"/>
            <w:sz w:val="18"/>
            <w:szCs w:val="18"/>
          </w:rPr>
          <w:t>Portal</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za</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podr</w:t>
        </w:r>
        <w:r w:rsidRPr="00620691">
          <w:rPr>
            <w:rStyle w:val="Hyperlink"/>
            <w:rFonts w:ascii="Times New Roman" w:hAnsi="Times New Roman"/>
            <w:sz w:val="18"/>
            <w:szCs w:val="18"/>
            <w:lang w:val="sr-Latn-ME"/>
          </w:rPr>
          <w:t>š</w:t>
        </w:r>
        <w:r w:rsidRPr="00620691">
          <w:rPr>
            <w:rStyle w:val="Hyperlink"/>
            <w:rFonts w:ascii="Times New Roman" w:hAnsi="Times New Roman"/>
            <w:sz w:val="18"/>
            <w:szCs w:val="18"/>
          </w:rPr>
          <w:t>ku</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malim</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i</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srednjim</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preduze</w:t>
        </w:r>
        <w:r w:rsidRPr="00620691">
          <w:rPr>
            <w:rStyle w:val="Hyperlink"/>
            <w:rFonts w:ascii="Times New Roman" w:hAnsi="Times New Roman"/>
            <w:sz w:val="18"/>
            <w:szCs w:val="18"/>
            <w:lang w:val="sr-Latn-ME"/>
          </w:rPr>
          <w:t>ć</w:t>
        </w:r>
        <w:r w:rsidRPr="00620691">
          <w:rPr>
            <w:rStyle w:val="Hyperlink"/>
            <w:rFonts w:ascii="Times New Roman" w:hAnsi="Times New Roman"/>
            <w:sz w:val="18"/>
            <w:szCs w:val="18"/>
          </w:rPr>
          <w:t>ima</w:t>
        </w:r>
        <w:r w:rsidRPr="00620691">
          <w:rPr>
            <w:rStyle w:val="Hyperlink"/>
            <w:rFonts w:ascii="Times New Roman" w:hAnsi="Times New Roman"/>
            <w:sz w:val="18"/>
            <w:szCs w:val="18"/>
            <w:lang w:val="sr-Latn-ME"/>
          </w:rPr>
          <w:t xml:space="preserve"> (</w:t>
        </w:r>
        <w:r w:rsidRPr="00620691">
          <w:rPr>
            <w:rStyle w:val="Hyperlink"/>
            <w:rFonts w:ascii="Times New Roman" w:hAnsi="Times New Roman"/>
            <w:sz w:val="18"/>
            <w:szCs w:val="18"/>
          </w:rPr>
          <w:t>biznis</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gov</w:t>
        </w:r>
        <w:r w:rsidRPr="00620691">
          <w:rPr>
            <w:rStyle w:val="Hyperlink"/>
            <w:rFonts w:ascii="Times New Roman" w:hAnsi="Times New Roman"/>
            <w:sz w:val="18"/>
            <w:szCs w:val="18"/>
            <w:lang w:val="sr-Latn-ME"/>
          </w:rPr>
          <w:t>.</w:t>
        </w:r>
        <w:r w:rsidRPr="00620691">
          <w:rPr>
            <w:rStyle w:val="Hyperlink"/>
            <w:rFonts w:ascii="Times New Roman" w:hAnsi="Times New Roman"/>
            <w:sz w:val="18"/>
            <w:szCs w:val="18"/>
          </w:rPr>
          <w:t>me</w:t>
        </w:r>
        <w:r w:rsidRPr="00620691">
          <w:rPr>
            <w:rStyle w:val="Hyperlink"/>
            <w:rFonts w:ascii="Times New Roman" w:hAnsi="Times New Roman"/>
            <w:sz w:val="18"/>
            <w:szCs w:val="18"/>
            <w:lang w:val="sr-Latn-ME"/>
          </w:rPr>
          <w:t>)</w:t>
        </w:r>
      </w:hyperlink>
    </w:p>
  </w:footnote>
  <w:footnote w:id="11">
    <w:p w14:paraId="2F3DE31C" w14:textId="1117C29C" w:rsidR="00167958" w:rsidRPr="00620691" w:rsidRDefault="00167958" w:rsidP="00620691">
      <w:pPr>
        <w:pStyle w:val="FootnoteText"/>
        <w:spacing w:after="60"/>
        <w:rPr>
          <w:rFonts w:ascii="Times New Roman" w:hAnsi="Times New Roman"/>
          <w:sz w:val="18"/>
          <w:szCs w:val="18"/>
        </w:rPr>
      </w:pPr>
      <w:r w:rsidRPr="00620691">
        <w:rPr>
          <w:rStyle w:val="FootnoteReference"/>
          <w:rFonts w:ascii="Times New Roman" w:hAnsi="Times New Roman"/>
          <w:sz w:val="18"/>
          <w:szCs w:val="18"/>
        </w:rPr>
        <w:footnoteRef/>
      </w:r>
      <w:r w:rsidRPr="00620691">
        <w:rPr>
          <w:rFonts w:ascii="Times New Roman" w:hAnsi="Times New Roman"/>
          <w:sz w:val="18"/>
          <w:szCs w:val="18"/>
        </w:rPr>
        <w:t xml:space="preserve"> European Structural and Investment Funds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95D5" w14:textId="77777777" w:rsidR="00167958" w:rsidRPr="0088268D" w:rsidRDefault="00167958">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C221640"/>
    <w:multiLevelType w:val="hybridMultilevel"/>
    <w:tmpl w:val="EACC12EC"/>
    <w:lvl w:ilvl="0" w:tplc="B1F23FD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7C24C6"/>
    <w:multiLevelType w:val="hybridMultilevel"/>
    <w:tmpl w:val="CBFE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65B2579"/>
    <w:multiLevelType w:val="hybridMultilevel"/>
    <w:tmpl w:val="A426F6D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FF04161"/>
    <w:multiLevelType w:val="hybridMultilevel"/>
    <w:tmpl w:val="ECFC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3FBE2151"/>
    <w:multiLevelType w:val="hybridMultilevel"/>
    <w:tmpl w:val="CF6A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7023E"/>
    <w:multiLevelType w:val="hybridMultilevel"/>
    <w:tmpl w:val="6B98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06E08"/>
    <w:multiLevelType w:val="multilevel"/>
    <w:tmpl w:val="D8ACC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472C24F1"/>
    <w:multiLevelType w:val="hybridMultilevel"/>
    <w:tmpl w:val="D93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AB27DB"/>
    <w:multiLevelType w:val="multilevel"/>
    <w:tmpl w:val="D8ACC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591C6F"/>
    <w:multiLevelType w:val="hybridMultilevel"/>
    <w:tmpl w:val="17881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nsid w:val="5D9D0F53"/>
    <w:multiLevelType w:val="multilevel"/>
    <w:tmpl w:val="4EA204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1DF65E3"/>
    <w:multiLevelType w:val="hybridMultilevel"/>
    <w:tmpl w:val="FCE2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nsid w:val="643D36A9"/>
    <w:multiLevelType w:val="hybridMultilevel"/>
    <w:tmpl w:val="D94490E6"/>
    <w:lvl w:ilvl="0" w:tplc="D4C419FA">
      <w:start w:val="1"/>
      <w:numFmt w:val="bullet"/>
      <w:lvlText w:val=""/>
      <w:lvlJc w:val="left"/>
      <w:pPr>
        <w:ind w:left="360" w:hanging="360"/>
      </w:pPr>
      <w:rPr>
        <w:rFonts w:ascii="Symbol" w:hAnsi="Symbol" w:hint="default"/>
      </w:rPr>
    </w:lvl>
    <w:lvl w:ilvl="1" w:tplc="D1BE04C4" w:tentative="1">
      <w:start w:val="1"/>
      <w:numFmt w:val="bullet"/>
      <w:lvlText w:val="o"/>
      <w:lvlJc w:val="left"/>
      <w:pPr>
        <w:ind w:left="1080" w:hanging="360"/>
      </w:pPr>
      <w:rPr>
        <w:rFonts w:ascii="Courier New" w:hAnsi="Courier New" w:cs="Courier New" w:hint="default"/>
      </w:rPr>
    </w:lvl>
    <w:lvl w:ilvl="2" w:tplc="5582D8B2" w:tentative="1">
      <w:start w:val="1"/>
      <w:numFmt w:val="bullet"/>
      <w:lvlText w:val=""/>
      <w:lvlJc w:val="left"/>
      <w:pPr>
        <w:ind w:left="1800" w:hanging="360"/>
      </w:pPr>
      <w:rPr>
        <w:rFonts w:ascii="Wingdings" w:hAnsi="Wingdings" w:hint="default"/>
      </w:rPr>
    </w:lvl>
    <w:lvl w:ilvl="3" w:tplc="BE3A4758" w:tentative="1">
      <w:start w:val="1"/>
      <w:numFmt w:val="bullet"/>
      <w:lvlText w:val=""/>
      <w:lvlJc w:val="left"/>
      <w:pPr>
        <w:ind w:left="2520" w:hanging="360"/>
      </w:pPr>
      <w:rPr>
        <w:rFonts w:ascii="Symbol" w:hAnsi="Symbol" w:hint="default"/>
      </w:rPr>
    </w:lvl>
    <w:lvl w:ilvl="4" w:tplc="790C4874" w:tentative="1">
      <w:start w:val="1"/>
      <w:numFmt w:val="bullet"/>
      <w:lvlText w:val="o"/>
      <w:lvlJc w:val="left"/>
      <w:pPr>
        <w:ind w:left="3240" w:hanging="360"/>
      </w:pPr>
      <w:rPr>
        <w:rFonts w:ascii="Courier New" w:hAnsi="Courier New" w:cs="Courier New" w:hint="default"/>
      </w:rPr>
    </w:lvl>
    <w:lvl w:ilvl="5" w:tplc="D8DE38FA" w:tentative="1">
      <w:start w:val="1"/>
      <w:numFmt w:val="bullet"/>
      <w:lvlText w:val=""/>
      <w:lvlJc w:val="left"/>
      <w:pPr>
        <w:ind w:left="3960" w:hanging="360"/>
      </w:pPr>
      <w:rPr>
        <w:rFonts w:ascii="Wingdings" w:hAnsi="Wingdings" w:hint="default"/>
      </w:rPr>
    </w:lvl>
    <w:lvl w:ilvl="6" w:tplc="30B61E8E" w:tentative="1">
      <w:start w:val="1"/>
      <w:numFmt w:val="bullet"/>
      <w:lvlText w:val=""/>
      <w:lvlJc w:val="left"/>
      <w:pPr>
        <w:ind w:left="4680" w:hanging="360"/>
      </w:pPr>
      <w:rPr>
        <w:rFonts w:ascii="Symbol" w:hAnsi="Symbol" w:hint="default"/>
      </w:rPr>
    </w:lvl>
    <w:lvl w:ilvl="7" w:tplc="9F46B4A2" w:tentative="1">
      <w:start w:val="1"/>
      <w:numFmt w:val="bullet"/>
      <w:lvlText w:val="o"/>
      <w:lvlJc w:val="left"/>
      <w:pPr>
        <w:ind w:left="5400" w:hanging="360"/>
      </w:pPr>
      <w:rPr>
        <w:rFonts w:ascii="Courier New" w:hAnsi="Courier New" w:cs="Courier New" w:hint="default"/>
      </w:rPr>
    </w:lvl>
    <w:lvl w:ilvl="8" w:tplc="44A6E20E" w:tentative="1">
      <w:start w:val="1"/>
      <w:numFmt w:val="bullet"/>
      <w:lvlText w:val=""/>
      <w:lvlJc w:val="left"/>
      <w:pPr>
        <w:ind w:left="6120" w:hanging="360"/>
      </w:pPr>
      <w:rPr>
        <w:rFonts w:ascii="Wingdings" w:hAnsi="Wingdings" w:hint="default"/>
      </w:rPr>
    </w:lvl>
  </w:abstractNum>
  <w:abstractNum w:abstractNumId="29">
    <w:nsid w:val="6A7B4BF1"/>
    <w:multiLevelType w:val="multilevel"/>
    <w:tmpl w:val="FB2C611A"/>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2A67B2"/>
    <w:multiLevelType w:val="hybridMultilevel"/>
    <w:tmpl w:val="DD34955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9"/>
  </w:num>
  <w:num w:numId="4">
    <w:abstractNumId w:val="13"/>
  </w:num>
  <w:num w:numId="5">
    <w:abstractNumId w:val="13"/>
    <w:lvlOverride w:ilvl="0">
      <w:startOverride w:val="1"/>
    </w:lvlOverride>
  </w:num>
  <w:num w:numId="6">
    <w:abstractNumId w:val="17"/>
  </w:num>
  <w:num w:numId="7">
    <w:abstractNumId w:val="7"/>
  </w:num>
  <w:num w:numId="8">
    <w:abstractNumId w:val="12"/>
  </w:num>
  <w:num w:numId="9">
    <w:abstractNumId w:val="27"/>
  </w:num>
  <w:num w:numId="10">
    <w:abstractNumId w:val="32"/>
  </w:num>
  <w:num w:numId="11">
    <w:abstractNumId w:val="10"/>
  </w:num>
  <w:num w:numId="12">
    <w:abstractNumId w:val="25"/>
  </w:num>
  <w:num w:numId="13">
    <w:abstractNumId w:val="24"/>
  </w:num>
  <w:num w:numId="14">
    <w:abstractNumId w:val="18"/>
  </w:num>
  <w:num w:numId="15">
    <w:abstractNumId w:val="22"/>
  </w:num>
  <w:num w:numId="16">
    <w:abstractNumId w:val="5"/>
  </w:num>
  <w:num w:numId="17">
    <w:abstractNumId w:val="11"/>
  </w:num>
  <w:num w:numId="18">
    <w:abstractNumId w:val="4"/>
  </w:num>
  <w:num w:numId="19">
    <w:abstractNumId w:val="8"/>
  </w:num>
  <w:num w:numId="20">
    <w:abstractNumId w:val="33"/>
  </w:num>
  <w:num w:numId="21">
    <w:abstractNumId w:val="23"/>
  </w:num>
  <w:num w:numId="22">
    <w:abstractNumId w:val="3"/>
  </w:num>
  <w:num w:numId="23">
    <w:abstractNumId w:val="26"/>
  </w:num>
  <w:num w:numId="24">
    <w:abstractNumId w:val="19"/>
  </w:num>
  <w:num w:numId="25">
    <w:abstractNumId w:val="14"/>
  </w:num>
  <w:num w:numId="26">
    <w:abstractNumId w:val="9"/>
  </w:num>
  <w:num w:numId="27">
    <w:abstractNumId w:val="16"/>
  </w:num>
  <w:num w:numId="28">
    <w:abstractNumId w:val="20"/>
  </w:num>
  <w:num w:numId="29">
    <w:abstractNumId w:val="28"/>
  </w:num>
  <w:num w:numId="30">
    <w:abstractNumId w:val="2"/>
  </w:num>
  <w:num w:numId="31">
    <w:abstractNumId w:val="6"/>
  </w:num>
  <w:num w:numId="32">
    <w:abstractNumId w:val="15"/>
  </w:num>
  <w:num w:numId="33">
    <w:abstractNumId w:val="13"/>
  </w:num>
  <w:num w:numId="34">
    <w:abstractNumId w:val="30"/>
  </w:num>
  <w:num w:numId="35">
    <w:abstractNumId w:val="29"/>
  </w:num>
  <w:num w:numId="36">
    <w:abstractNumId w:val="21"/>
  </w:num>
  <w:num w:numId="37">
    <w:abstractNumId w:val="29"/>
  </w:num>
  <w:num w:numId="38">
    <w:abstractNumId w:val="29"/>
  </w:num>
  <w:num w:numId="39">
    <w:abstractNumId w:val="29"/>
  </w:num>
  <w:num w:numId="4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0BAB"/>
    <w:rsid w:val="00004095"/>
    <w:rsid w:val="00004E71"/>
    <w:rsid w:val="000077CF"/>
    <w:rsid w:val="000077FA"/>
    <w:rsid w:val="00010C95"/>
    <w:rsid w:val="00011C9E"/>
    <w:rsid w:val="00012D5D"/>
    <w:rsid w:val="00014111"/>
    <w:rsid w:val="00017D9D"/>
    <w:rsid w:val="00017FBB"/>
    <w:rsid w:val="0003046E"/>
    <w:rsid w:val="00030592"/>
    <w:rsid w:val="00051867"/>
    <w:rsid w:val="00051D47"/>
    <w:rsid w:val="0005367E"/>
    <w:rsid w:val="00053705"/>
    <w:rsid w:val="0005448B"/>
    <w:rsid w:val="000554A5"/>
    <w:rsid w:val="000564BD"/>
    <w:rsid w:val="000578B4"/>
    <w:rsid w:val="00065115"/>
    <w:rsid w:val="00066D6E"/>
    <w:rsid w:val="00067B76"/>
    <w:rsid w:val="00067DB0"/>
    <w:rsid w:val="00070DE2"/>
    <w:rsid w:val="000716C6"/>
    <w:rsid w:val="0007211A"/>
    <w:rsid w:val="00073A43"/>
    <w:rsid w:val="00074D75"/>
    <w:rsid w:val="0007775D"/>
    <w:rsid w:val="00077F7D"/>
    <w:rsid w:val="00083633"/>
    <w:rsid w:val="00084170"/>
    <w:rsid w:val="0008417F"/>
    <w:rsid w:val="00086509"/>
    <w:rsid w:val="000867C2"/>
    <w:rsid w:val="000872A5"/>
    <w:rsid w:val="00087B25"/>
    <w:rsid w:val="00094BA6"/>
    <w:rsid w:val="00095412"/>
    <w:rsid w:val="000B546C"/>
    <w:rsid w:val="000D132E"/>
    <w:rsid w:val="000D3A02"/>
    <w:rsid w:val="000D5FA1"/>
    <w:rsid w:val="000D7382"/>
    <w:rsid w:val="000E4180"/>
    <w:rsid w:val="000E470A"/>
    <w:rsid w:val="000E5C5A"/>
    <w:rsid w:val="000E75FE"/>
    <w:rsid w:val="000F6064"/>
    <w:rsid w:val="0010272E"/>
    <w:rsid w:val="00102F14"/>
    <w:rsid w:val="0010562D"/>
    <w:rsid w:val="00107E6C"/>
    <w:rsid w:val="0012541D"/>
    <w:rsid w:val="00125D86"/>
    <w:rsid w:val="001264EA"/>
    <w:rsid w:val="00127D55"/>
    <w:rsid w:val="001310DE"/>
    <w:rsid w:val="00143F19"/>
    <w:rsid w:val="00144A5E"/>
    <w:rsid w:val="00150137"/>
    <w:rsid w:val="00154EC3"/>
    <w:rsid w:val="00160677"/>
    <w:rsid w:val="00162502"/>
    <w:rsid w:val="00166FA0"/>
    <w:rsid w:val="00167958"/>
    <w:rsid w:val="00177DDE"/>
    <w:rsid w:val="001823CF"/>
    <w:rsid w:val="00185A24"/>
    <w:rsid w:val="00186185"/>
    <w:rsid w:val="00187B10"/>
    <w:rsid w:val="00190CD4"/>
    <w:rsid w:val="001A1412"/>
    <w:rsid w:val="001A1952"/>
    <w:rsid w:val="001A53A3"/>
    <w:rsid w:val="001B33D1"/>
    <w:rsid w:val="001B3E76"/>
    <w:rsid w:val="001B5A41"/>
    <w:rsid w:val="001C151A"/>
    <w:rsid w:val="001C50E0"/>
    <w:rsid w:val="001D2A12"/>
    <w:rsid w:val="001D2BCC"/>
    <w:rsid w:val="001F5CEB"/>
    <w:rsid w:val="001F67A7"/>
    <w:rsid w:val="00202C80"/>
    <w:rsid w:val="002113F8"/>
    <w:rsid w:val="0021174B"/>
    <w:rsid w:val="00213767"/>
    <w:rsid w:val="00214807"/>
    <w:rsid w:val="00224222"/>
    <w:rsid w:val="00230395"/>
    <w:rsid w:val="00230B0D"/>
    <w:rsid w:val="0023362E"/>
    <w:rsid w:val="002350FD"/>
    <w:rsid w:val="002364C9"/>
    <w:rsid w:val="00244A1C"/>
    <w:rsid w:val="00247749"/>
    <w:rsid w:val="002529C1"/>
    <w:rsid w:val="00255A9A"/>
    <w:rsid w:val="002600D6"/>
    <w:rsid w:val="00262932"/>
    <w:rsid w:val="002632A5"/>
    <w:rsid w:val="00266451"/>
    <w:rsid w:val="00266CFC"/>
    <w:rsid w:val="00267D3C"/>
    <w:rsid w:val="00274556"/>
    <w:rsid w:val="0028165A"/>
    <w:rsid w:val="00282101"/>
    <w:rsid w:val="002823E9"/>
    <w:rsid w:val="00282D5C"/>
    <w:rsid w:val="0029020E"/>
    <w:rsid w:val="00292B93"/>
    <w:rsid w:val="00293130"/>
    <w:rsid w:val="00297C29"/>
    <w:rsid w:val="002A1E22"/>
    <w:rsid w:val="002A4632"/>
    <w:rsid w:val="002B1A57"/>
    <w:rsid w:val="002B79FF"/>
    <w:rsid w:val="002C2AD2"/>
    <w:rsid w:val="002C5AE5"/>
    <w:rsid w:val="002C6CC6"/>
    <w:rsid w:val="002D25F2"/>
    <w:rsid w:val="002E05ED"/>
    <w:rsid w:val="002E13AC"/>
    <w:rsid w:val="002E508F"/>
    <w:rsid w:val="002E58F9"/>
    <w:rsid w:val="002F151F"/>
    <w:rsid w:val="002F642E"/>
    <w:rsid w:val="00303F53"/>
    <w:rsid w:val="00305737"/>
    <w:rsid w:val="00316A8A"/>
    <w:rsid w:val="003249F8"/>
    <w:rsid w:val="00333AEF"/>
    <w:rsid w:val="00352993"/>
    <w:rsid w:val="00352AFC"/>
    <w:rsid w:val="00352B90"/>
    <w:rsid w:val="00353F37"/>
    <w:rsid w:val="003556A9"/>
    <w:rsid w:val="00356A16"/>
    <w:rsid w:val="003628DD"/>
    <w:rsid w:val="00362A67"/>
    <w:rsid w:val="00366638"/>
    <w:rsid w:val="00371FD3"/>
    <w:rsid w:val="00372A6A"/>
    <w:rsid w:val="0038158D"/>
    <w:rsid w:val="00383EB5"/>
    <w:rsid w:val="00385879"/>
    <w:rsid w:val="00385CF3"/>
    <w:rsid w:val="003869E2"/>
    <w:rsid w:val="00392924"/>
    <w:rsid w:val="003969BF"/>
    <w:rsid w:val="003A6435"/>
    <w:rsid w:val="003A76EC"/>
    <w:rsid w:val="003C06E9"/>
    <w:rsid w:val="003C619D"/>
    <w:rsid w:val="003C7E95"/>
    <w:rsid w:val="003D1B73"/>
    <w:rsid w:val="003D6D2C"/>
    <w:rsid w:val="003E178B"/>
    <w:rsid w:val="003E3BF2"/>
    <w:rsid w:val="003E42BA"/>
    <w:rsid w:val="003E4509"/>
    <w:rsid w:val="003E61EB"/>
    <w:rsid w:val="003F5EC3"/>
    <w:rsid w:val="003F7039"/>
    <w:rsid w:val="00410DE0"/>
    <w:rsid w:val="00412B3C"/>
    <w:rsid w:val="00413DDD"/>
    <w:rsid w:val="00416C4D"/>
    <w:rsid w:val="0042159B"/>
    <w:rsid w:val="00422584"/>
    <w:rsid w:val="00426B9A"/>
    <w:rsid w:val="00426FDF"/>
    <w:rsid w:val="0043135B"/>
    <w:rsid w:val="0043246E"/>
    <w:rsid w:val="00436367"/>
    <w:rsid w:val="004502FE"/>
    <w:rsid w:val="00454C51"/>
    <w:rsid w:val="0045712D"/>
    <w:rsid w:val="00460720"/>
    <w:rsid w:val="0046205B"/>
    <w:rsid w:val="0046344F"/>
    <w:rsid w:val="0047553D"/>
    <w:rsid w:val="00477553"/>
    <w:rsid w:val="004810E0"/>
    <w:rsid w:val="0048117A"/>
    <w:rsid w:val="00483991"/>
    <w:rsid w:val="004B3F07"/>
    <w:rsid w:val="004B7E37"/>
    <w:rsid w:val="004C13A0"/>
    <w:rsid w:val="004C3424"/>
    <w:rsid w:val="004C4966"/>
    <w:rsid w:val="004C5759"/>
    <w:rsid w:val="004D224C"/>
    <w:rsid w:val="004F0DF4"/>
    <w:rsid w:val="004F3478"/>
    <w:rsid w:val="004F5CCC"/>
    <w:rsid w:val="004F62C3"/>
    <w:rsid w:val="004F6ABE"/>
    <w:rsid w:val="004F7F5F"/>
    <w:rsid w:val="00510185"/>
    <w:rsid w:val="00512C5D"/>
    <w:rsid w:val="00517D2E"/>
    <w:rsid w:val="00523EF7"/>
    <w:rsid w:val="00525BDC"/>
    <w:rsid w:val="00526064"/>
    <w:rsid w:val="00530182"/>
    <w:rsid w:val="00536211"/>
    <w:rsid w:val="00542D2B"/>
    <w:rsid w:val="00546488"/>
    <w:rsid w:val="00555DF3"/>
    <w:rsid w:val="00555F37"/>
    <w:rsid w:val="00556D14"/>
    <w:rsid w:val="00561B68"/>
    <w:rsid w:val="00564907"/>
    <w:rsid w:val="00570770"/>
    <w:rsid w:val="00574438"/>
    <w:rsid w:val="00575A9A"/>
    <w:rsid w:val="005906C1"/>
    <w:rsid w:val="00590B55"/>
    <w:rsid w:val="00591589"/>
    <w:rsid w:val="005957F1"/>
    <w:rsid w:val="0059750E"/>
    <w:rsid w:val="00597EA2"/>
    <w:rsid w:val="005A010B"/>
    <w:rsid w:val="005A1585"/>
    <w:rsid w:val="005A22A6"/>
    <w:rsid w:val="005A619A"/>
    <w:rsid w:val="005A704C"/>
    <w:rsid w:val="005A7F32"/>
    <w:rsid w:val="005B224C"/>
    <w:rsid w:val="005B26EE"/>
    <w:rsid w:val="005C728D"/>
    <w:rsid w:val="005D104D"/>
    <w:rsid w:val="005E1F81"/>
    <w:rsid w:val="005E3A6A"/>
    <w:rsid w:val="005E73CD"/>
    <w:rsid w:val="005E77F2"/>
    <w:rsid w:val="005F02B3"/>
    <w:rsid w:val="005F3E33"/>
    <w:rsid w:val="00605365"/>
    <w:rsid w:val="0060796D"/>
    <w:rsid w:val="00610145"/>
    <w:rsid w:val="00617928"/>
    <w:rsid w:val="00620691"/>
    <w:rsid w:val="00623274"/>
    <w:rsid w:val="00627196"/>
    <w:rsid w:val="00630808"/>
    <w:rsid w:val="006313C0"/>
    <w:rsid w:val="00634449"/>
    <w:rsid w:val="00634CA9"/>
    <w:rsid w:val="006455EB"/>
    <w:rsid w:val="00653031"/>
    <w:rsid w:val="00656C12"/>
    <w:rsid w:val="00664B66"/>
    <w:rsid w:val="0066645B"/>
    <w:rsid w:val="006675AD"/>
    <w:rsid w:val="00675CA3"/>
    <w:rsid w:val="00676E92"/>
    <w:rsid w:val="00677848"/>
    <w:rsid w:val="00680F3A"/>
    <w:rsid w:val="0068228D"/>
    <w:rsid w:val="006841F2"/>
    <w:rsid w:val="006902C9"/>
    <w:rsid w:val="00690911"/>
    <w:rsid w:val="00690B0A"/>
    <w:rsid w:val="00692334"/>
    <w:rsid w:val="00695C2A"/>
    <w:rsid w:val="006A453E"/>
    <w:rsid w:val="006A5478"/>
    <w:rsid w:val="006A67EB"/>
    <w:rsid w:val="006C3E6E"/>
    <w:rsid w:val="006C4C34"/>
    <w:rsid w:val="006C4E52"/>
    <w:rsid w:val="006E00A0"/>
    <w:rsid w:val="006E075D"/>
    <w:rsid w:val="006E0E75"/>
    <w:rsid w:val="006E20F8"/>
    <w:rsid w:val="006E2226"/>
    <w:rsid w:val="006E25C5"/>
    <w:rsid w:val="006E6933"/>
    <w:rsid w:val="006F13ED"/>
    <w:rsid w:val="006F6AA1"/>
    <w:rsid w:val="006F79C0"/>
    <w:rsid w:val="00702B67"/>
    <w:rsid w:val="00702CF9"/>
    <w:rsid w:val="00705D66"/>
    <w:rsid w:val="00707CDC"/>
    <w:rsid w:val="00707F71"/>
    <w:rsid w:val="00720FC2"/>
    <w:rsid w:val="007230D6"/>
    <w:rsid w:val="00723A02"/>
    <w:rsid w:val="0072637A"/>
    <w:rsid w:val="00732CF8"/>
    <w:rsid w:val="007367C5"/>
    <w:rsid w:val="00740D4D"/>
    <w:rsid w:val="00742FF7"/>
    <w:rsid w:val="00745333"/>
    <w:rsid w:val="00745D49"/>
    <w:rsid w:val="007533D7"/>
    <w:rsid w:val="00757545"/>
    <w:rsid w:val="00760B7D"/>
    <w:rsid w:val="00761A5C"/>
    <w:rsid w:val="00762DAF"/>
    <w:rsid w:val="00764064"/>
    <w:rsid w:val="00765A0E"/>
    <w:rsid w:val="00766AB0"/>
    <w:rsid w:val="0077155A"/>
    <w:rsid w:val="00780DE1"/>
    <w:rsid w:val="00781229"/>
    <w:rsid w:val="0079347D"/>
    <w:rsid w:val="007A4E94"/>
    <w:rsid w:val="007A62F0"/>
    <w:rsid w:val="007B1182"/>
    <w:rsid w:val="007B16D7"/>
    <w:rsid w:val="007B1C93"/>
    <w:rsid w:val="007B2FF8"/>
    <w:rsid w:val="007B4B28"/>
    <w:rsid w:val="007B4FAE"/>
    <w:rsid w:val="007B7B24"/>
    <w:rsid w:val="007C3DDD"/>
    <w:rsid w:val="007C55E2"/>
    <w:rsid w:val="007D0E9B"/>
    <w:rsid w:val="007D4581"/>
    <w:rsid w:val="007D7A0D"/>
    <w:rsid w:val="007F1CB9"/>
    <w:rsid w:val="007F61BE"/>
    <w:rsid w:val="00807478"/>
    <w:rsid w:val="008158C4"/>
    <w:rsid w:val="00817BEC"/>
    <w:rsid w:val="00823F49"/>
    <w:rsid w:val="00825D61"/>
    <w:rsid w:val="00826133"/>
    <w:rsid w:val="008409FC"/>
    <w:rsid w:val="00840B41"/>
    <w:rsid w:val="00841521"/>
    <w:rsid w:val="00851C69"/>
    <w:rsid w:val="00852293"/>
    <w:rsid w:val="008539B7"/>
    <w:rsid w:val="00855FF3"/>
    <w:rsid w:val="00856353"/>
    <w:rsid w:val="008568A4"/>
    <w:rsid w:val="0086006C"/>
    <w:rsid w:val="008614A1"/>
    <w:rsid w:val="0086337A"/>
    <w:rsid w:val="008664C4"/>
    <w:rsid w:val="00880C18"/>
    <w:rsid w:val="00887612"/>
    <w:rsid w:val="008A18D1"/>
    <w:rsid w:val="008A1F78"/>
    <w:rsid w:val="008A1FC8"/>
    <w:rsid w:val="008A2AAA"/>
    <w:rsid w:val="008A5DA4"/>
    <w:rsid w:val="008B0658"/>
    <w:rsid w:val="008B40F2"/>
    <w:rsid w:val="008B52A7"/>
    <w:rsid w:val="008B5572"/>
    <w:rsid w:val="008C0968"/>
    <w:rsid w:val="008C43AC"/>
    <w:rsid w:val="008C6F89"/>
    <w:rsid w:val="008D1915"/>
    <w:rsid w:val="008E68B3"/>
    <w:rsid w:val="008E6E07"/>
    <w:rsid w:val="008F278C"/>
    <w:rsid w:val="00902153"/>
    <w:rsid w:val="00902737"/>
    <w:rsid w:val="00902E32"/>
    <w:rsid w:val="00905B31"/>
    <w:rsid w:val="00905E9B"/>
    <w:rsid w:val="009066C7"/>
    <w:rsid w:val="00912313"/>
    <w:rsid w:val="0091340B"/>
    <w:rsid w:val="00917BE0"/>
    <w:rsid w:val="0092680B"/>
    <w:rsid w:val="00927DB6"/>
    <w:rsid w:val="00936411"/>
    <w:rsid w:val="00937E95"/>
    <w:rsid w:val="00946ADE"/>
    <w:rsid w:val="00953B43"/>
    <w:rsid w:val="00954828"/>
    <w:rsid w:val="00954DE4"/>
    <w:rsid w:val="00962DE3"/>
    <w:rsid w:val="00966DD0"/>
    <w:rsid w:val="0097081C"/>
    <w:rsid w:val="009754BA"/>
    <w:rsid w:val="0098107F"/>
    <w:rsid w:val="009817D6"/>
    <w:rsid w:val="009846CF"/>
    <w:rsid w:val="00987C2D"/>
    <w:rsid w:val="009940DE"/>
    <w:rsid w:val="00994D4C"/>
    <w:rsid w:val="009B08FD"/>
    <w:rsid w:val="009B19D4"/>
    <w:rsid w:val="009B2D69"/>
    <w:rsid w:val="009C0CFC"/>
    <w:rsid w:val="009C1D5A"/>
    <w:rsid w:val="009C206D"/>
    <w:rsid w:val="009C216F"/>
    <w:rsid w:val="009C5635"/>
    <w:rsid w:val="009C65A0"/>
    <w:rsid w:val="009D0649"/>
    <w:rsid w:val="009D6506"/>
    <w:rsid w:val="009D796D"/>
    <w:rsid w:val="009E0620"/>
    <w:rsid w:val="009F098E"/>
    <w:rsid w:val="009F0B63"/>
    <w:rsid w:val="009F316C"/>
    <w:rsid w:val="00A050B3"/>
    <w:rsid w:val="00A06859"/>
    <w:rsid w:val="00A06F5A"/>
    <w:rsid w:val="00A10084"/>
    <w:rsid w:val="00A14731"/>
    <w:rsid w:val="00A2091F"/>
    <w:rsid w:val="00A2357F"/>
    <w:rsid w:val="00A26B3D"/>
    <w:rsid w:val="00A30BA8"/>
    <w:rsid w:val="00A30CA0"/>
    <w:rsid w:val="00A328F5"/>
    <w:rsid w:val="00A3499F"/>
    <w:rsid w:val="00A3653E"/>
    <w:rsid w:val="00A509DB"/>
    <w:rsid w:val="00A50D0F"/>
    <w:rsid w:val="00A5666A"/>
    <w:rsid w:val="00A572AB"/>
    <w:rsid w:val="00A634B8"/>
    <w:rsid w:val="00A645BE"/>
    <w:rsid w:val="00A708C4"/>
    <w:rsid w:val="00A768F9"/>
    <w:rsid w:val="00A76C96"/>
    <w:rsid w:val="00A82F86"/>
    <w:rsid w:val="00A84719"/>
    <w:rsid w:val="00A86AB0"/>
    <w:rsid w:val="00A87E49"/>
    <w:rsid w:val="00A951CC"/>
    <w:rsid w:val="00AA1043"/>
    <w:rsid w:val="00AA54E8"/>
    <w:rsid w:val="00AA6858"/>
    <w:rsid w:val="00AA6D71"/>
    <w:rsid w:val="00AB3D89"/>
    <w:rsid w:val="00AB6A51"/>
    <w:rsid w:val="00AB7E71"/>
    <w:rsid w:val="00AC790C"/>
    <w:rsid w:val="00AD3A27"/>
    <w:rsid w:val="00AD7909"/>
    <w:rsid w:val="00AE0DC1"/>
    <w:rsid w:val="00AE438A"/>
    <w:rsid w:val="00AF3E12"/>
    <w:rsid w:val="00B05ED3"/>
    <w:rsid w:val="00B107C6"/>
    <w:rsid w:val="00B200A8"/>
    <w:rsid w:val="00B24DC9"/>
    <w:rsid w:val="00B257D2"/>
    <w:rsid w:val="00B25EAC"/>
    <w:rsid w:val="00B260D1"/>
    <w:rsid w:val="00B3592C"/>
    <w:rsid w:val="00B422E4"/>
    <w:rsid w:val="00B4477A"/>
    <w:rsid w:val="00B46058"/>
    <w:rsid w:val="00B468F8"/>
    <w:rsid w:val="00B47CA5"/>
    <w:rsid w:val="00B503FD"/>
    <w:rsid w:val="00B50CDA"/>
    <w:rsid w:val="00B54F65"/>
    <w:rsid w:val="00B57C57"/>
    <w:rsid w:val="00B63208"/>
    <w:rsid w:val="00B63833"/>
    <w:rsid w:val="00B67A87"/>
    <w:rsid w:val="00B718CB"/>
    <w:rsid w:val="00B72FB4"/>
    <w:rsid w:val="00B74670"/>
    <w:rsid w:val="00B75D75"/>
    <w:rsid w:val="00B80692"/>
    <w:rsid w:val="00B8597E"/>
    <w:rsid w:val="00B91F1B"/>
    <w:rsid w:val="00B927EB"/>
    <w:rsid w:val="00B95433"/>
    <w:rsid w:val="00B977C5"/>
    <w:rsid w:val="00BA0EF4"/>
    <w:rsid w:val="00BA69B9"/>
    <w:rsid w:val="00BB1BED"/>
    <w:rsid w:val="00BB2E43"/>
    <w:rsid w:val="00BB44D0"/>
    <w:rsid w:val="00BB793D"/>
    <w:rsid w:val="00BC103B"/>
    <w:rsid w:val="00BC5777"/>
    <w:rsid w:val="00BC7CDF"/>
    <w:rsid w:val="00BD14C9"/>
    <w:rsid w:val="00BD3C5C"/>
    <w:rsid w:val="00BE0352"/>
    <w:rsid w:val="00BE1EB0"/>
    <w:rsid w:val="00BE725A"/>
    <w:rsid w:val="00C03157"/>
    <w:rsid w:val="00C06096"/>
    <w:rsid w:val="00C1107D"/>
    <w:rsid w:val="00C17A92"/>
    <w:rsid w:val="00C20A72"/>
    <w:rsid w:val="00C23839"/>
    <w:rsid w:val="00C23CB9"/>
    <w:rsid w:val="00C348D2"/>
    <w:rsid w:val="00C35668"/>
    <w:rsid w:val="00C36069"/>
    <w:rsid w:val="00C3714A"/>
    <w:rsid w:val="00C40F0C"/>
    <w:rsid w:val="00C43867"/>
    <w:rsid w:val="00C50F8D"/>
    <w:rsid w:val="00C54E9B"/>
    <w:rsid w:val="00C57807"/>
    <w:rsid w:val="00C64DCC"/>
    <w:rsid w:val="00C65FFB"/>
    <w:rsid w:val="00C667DE"/>
    <w:rsid w:val="00C708E5"/>
    <w:rsid w:val="00C72230"/>
    <w:rsid w:val="00C72B31"/>
    <w:rsid w:val="00C7634D"/>
    <w:rsid w:val="00C81809"/>
    <w:rsid w:val="00C826CC"/>
    <w:rsid w:val="00CA0090"/>
    <w:rsid w:val="00CA03ED"/>
    <w:rsid w:val="00CA48B0"/>
    <w:rsid w:val="00CA4BC4"/>
    <w:rsid w:val="00CC0F6B"/>
    <w:rsid w:val="00CC5FDD"/>
    <w:rsid w:val="00CD2AB7"/>
    <w:rsid w:val="00CD6E9C"/>
    <w:rsid w:val="00CD7122"/>
    <w:rsid w:val="00CE2AB2"/>
    <w:rsid w:val="00CE443C"/>
    <w:rsid w:val="00CE69F3"/>
    <w:rsid w:val="00CF191F"/>
    <w:rsid w:val="00CF6D15"/>
    <w:rsid w:val="00CF727B"/>
    <w:rsid w:val="00D07316"/>
    <w:rsid w:val="00D07EC2"/>
    <w:rsid w:val="00D13DF0"/>
    <w:rsid w:val="00D16EF8"/>
    <w:rsid w:val="00D17BF7"/>
    <w:rsid w:val="00D20775"/>
    <w:rsid w:val="00D20D8F"/>
    <w:rsid w:val="00D21396"/>
    <w:rsid w:val="00D21D22"/>
    <w:rsid w:val="00D2303A"/>
    <w:rsid w:val="00D40347"/>
    <w:rsid w:val="00D445D8"/>
    <w:rsid w:val="00D46E7C"/>
    <w:rsid w:val="00D53E4F"/>
    <w:rsid w:val="00D5419D"/>
    <w:rsid w:val="00D545F0"/>
    <w:rsid w:val="00D54FF4"/>
    <w:rsid w:val="00D55610"/>
    <w:rsid w:val="00D57E47"/>
    <w:rsid w:val="00D62A96"/>
    <w:rsid w:val="00D62BB9"/>
    <w:rsid w:val="00D62EF8"/>
    <w:rsid w:val="00D640B4"/>
    <w:rsid w:val="00D70E49"/>
    <w:rsid w:val="00D7797F"/>
    <w:rsid w:val="00D8111C"/>
    <w:rsid w:val="00D81292"/>
    <w:rsid w:val="00D83F0E"/>
    <w:rsid w:val="00D92067"/>
    <w:rsid w:val="00D920A0"/>
    <w:rsid w:val="00D92DF5"/>
    <w:rsid w:val="00DB34A2"/>
    <w:rsid w:val="00DB7A37"/>
    <w:rsid w:val="00DC5451"/>
    <w:rsid w:val="00DC5622"/>
    <w:rsid w:val="00DD10FE"/>
    <w:rsid w:val="00DD5FEC"/>
    <w:rsid w:val="00DE599B"/>
    <w:rsid w:val="00DE5AB5"/>
    <w:rsid w:val="00DF5725"/>
    <w:rsid w:val="00E011E1"/>
    <w:rsid w:val="00E026DF"/>
    <w:rsid w:val="00E0589C"/>
    <w:rsid w:val="00E05C0F"/>
    <w:rsid w:val="00E121C5"/>
    <w:rsid w:val="00E152E6"/>
    <w:rsid w:val="00E154A5"/>
    <w:rsid w:val="00E2052E"/>
    <w:rsid w:val="00E213CC"/>
    <w:rsid w:val="00E22FAF"/>
    <w:rsid w:val="00E30748"/>
    <w:rsid w:val="00E312E0"/>
    <w:rsid w:val="00E32856"/>
    <w:rsid w:val="00E36A7B"/>
    <w:rsid w:val="00E4139B"/>
    <w:rsid w:val="00E45775"/>
    <w:rsid w:val="00E5124C"/>
    <w:rsid w:val="00E53A88"/>
    <w:rsid w:val="00E6437C"/>
    <w:rsid w:val="00E65436"/>
    <w:rsid w:val="00E66834"/>
    <w:rsid w:val="00E734CB"/>
    <w:rsid w:val="00E750AA"/>
    <w:rsid w:val="00E756AE"/>
    <w:rsid w:val="00EA0DE0"/>
    <w:rsid w:val="00EA19FE"/>
    <w:rsid w:val="00EA2A54"/>
    <w:rsid w:val="00EA2AC9"/>
    <w:rsid w:val="00EA7B06"/>
    <w:rsid w:val="00EB3307"/>
    <w:rsid w:val="00EB71C5"/>
    <w:rsid w:val="00EB7371"/>
    <w:rsid w:val="00EB7E57"/>
    <w:rsid w:val="00EC184A"/>
    <w:rsid w:val="00EC5C78"/>
    <w:rsid w:val="00EC795C"/>
    <w:rsid w:val="00EC7C75"/>
    <w:rsid w:val="00ED0451"/>
    <w:rsid w:val="00EE285F"/>
    <w:rsid w:val="00EE5409"/>
    <w:rsid w:val="00EE6137"/>
    <w:rsid w:val="00EE7956"/>
    <w:rsid w:val="00EF00BA"/>
    <w:rsid w:val="00EF1952"/>
    <w:rsid w:val="00EF5C6D"/>
    <w:rsid w:val="00EF5FDC"/>
    <w:rsid w:val="00F037C9"/>
    <w:rsid w:val="00F16F52"/>
    <w:rsid w:val="00F16F8A"/>
    <w:rsid w:val="00F174CA"/>
    <w:rsid w:val="00F23B75"/>
    <w:rsid w:val="00F24F3B"/>
    <w:rsid w:val="00F31DB1"/>
    <w:rsid w:val="00F3332D"/>
    <w:rsid w:val="00F3739A"/>
    <w:rsid w:val="00F6217C"/>
    <w:rsid w:val="00F639DC"/>
    <w:rsid w:val="00F643AE"/>
    <w:rsid w:val="00F71048"/>
    <w:rsid w:val="00F71707"/>
    <w:rsid w:val="00F739AE"/>
    <w:rsid w:val="00F757F3"/>
    <w:rsid w:val="00F76840"/>
    <w:rsid w:val="00F80FD8"/>
    <w:rsid w:val="00F8178F"/>
    <w:rsid w:val="00F87027"/>
    <w:rsid w:val="00F91213"/>
    <w:rsid w:val="00F95C02"/>
    <w:rsid w:val="00F95F2E"/>
    <w:rsid w:val="00F95F80"/>
    <w:rsid w:val="00FA1B35"/>
    <w:rsid w:val="00FA2084"/>
    <w:rsid w:val="00FA614C"/>
    <w:rsid w:val="00FB21C0"/>
    <w:rsid w:val="00FB2813"/>
    <w:rsid w:val="00FB7A63"/>
    <w:rsid w:val="00FC3877"/>
    <w:rsid w:val="00FD204A"/>
    <w:rsid w:val="00FE155F"/>
    <w:rsid w:val="00FE3486"/>
    <w:rsid w:val="00FE4B7E"/>
    <w:rsid w:val="00FE5795"/>
    <w:rsid w:val="00FE5939"/>
    <w:rsid w:val="00FE6A96"/>
    <w:rsid w:val="00FF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79B2"/>
  <w15:chartTrackingRefBased/>
  <w15:docId w15:val="{803F2FEA-9B33-4222-A114-DDBFEB2C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26"/>
    <w:pPr>
      <w:spacing w:after="120"/>
      <w:jc w:val="both"/>
    </w:pPr>
    <w:rPr>
      <w:rFonts w:ascii="Arial" w:hAnsi="Arial"/>
    </w:rPr>
  </w:style>
  <w:style w:type="paragraph" w:styleId="Heading1">
    <w:name w:val="heading 1"/>
    <w:basedOn w:val="Normal"/>
    <w:next w:val="Text1"/>
    <w:autoRedefine/>
    <w:qFormat/>
    <w:rsid w:val="00D3714C"/>
    <w:pPr>
      <w:keepNext/>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150137"/>
    <w:pPr>
      <w:keepNext/>
      <w:numPr>
        <w:ilvl w:val="1"/>
        <w:numId w:val="3"/>
      </w:numPr>
      <w:tabs>
        <w:tab w:val="left" w:pos="567"/>
      </w:tabs>
      <w:spacing w:before="240"/>
      <w:jc w:val="left"/>
      <w:outlineLvl w:val="1"/>
    </w:pPr>
    <w:rPr>
      <w:rFonts w:ascii="Times New Roman" w:hAnsi="Times New Roman"/>
      <w:b/>
      <w:sz w:val="24"/>
      <w:szCs w:val="24"/>
    </w:rPr>
  </w:style>
  <w:style w:type="paragraph" w:styleId="Heading3">
    <w:name w:val="heading 3"/>
    <w:basedOn w:val="Normal"/>
    <w:next w:val="Normal"/>
    <w:autoRedefine/>
    <w:qFormat/>
    <w:rsid w:val="006E2226"/>
    <w:pPr>
      <w:keepNext/>
      <w:numPr>
        <w:ilvl w:val="2"/>
        <w:numId w:val="3"/>
      </w:numPr>
      <w:tabs>
        <w:tab w:val="clear" w:pos="1920"/>
      </w:tabs>
      <w:spacing w:before="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t,single space,fn,f"/>
    <w:basedOn w:val="Normal"/>
    <w:link w:val="FootnoteTextChar1"/>
    <w:uiPriority w:val="99"/>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4"/>
      </w:numPr>
      <w:spacing w:after="240"/>
    </w:pPr>
    <w:rPr>
      <w:rFonts w:ascii="Times New Roman" w:hAnsi="Times New Roman"/>
      <w:sz w:val="24"/>
      <w:lang w:eastAsia="en-US"/>
    </w:rPr>
  </w:style>
  <w:style w:type="paragraph" w:styleId="ListBullet2">
    <w:name w:val="List Bullet 2"/>
    <w:basedOn w:val="Text2"/>
    <w:rsid w:val="00FA614C"/>
    <w:pPr>
      <w:numPr>
        <w:numId w:val="8"/>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9"/>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0"/>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16"/>
      </w:numPr>
      <w:spacing w:after="240"/>
    </w:pPr>
    <w:rPr>
      <w:rFonts w:ascii="Times New Roman" w:hAnsi="Times New Roman"/>
      <w:sz w:val="24"/>
      <w:lang w:eastAsia="en-US"/>
    </w:rPr>
  </w:style>
  <w:style w:type="paragraph" w:styleId="ListNumber2">
    <w:name w:val="List Number 2"/>
    <w:basedOn w:val="Text2"/>
    <w:rsid w:val="00FA614C"/>
    <w:pPr>
      <w:numPr>
        <w:numId w:val="18"/>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19"/>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0"/>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 Exposant 3 Point, BVI fnr"/>
    <w:link w:val="CarattereCarattereCharCharCharChar"/>
    <w:uiPriority w:val="99"/>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9F0B63"/>
    <w:pPr>
      <w:keepNext w:val="0"/>
      <w:pageBreakBefore/>
      <w:numPr>
        <w:numId w:val="0"/>
      </w:numPr>
      <w:tabs>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7"/>
      </w:numPr>
      <w:spacing w:after="240"/>
    </w:pPr>
    <w:rPr>
      <w:rFonts w:ascii="Times New Roman" w:hAnsi="Times New Roman"/>
      <w:sz w:val="24"/>
      <w:lang w:eastAsia="en-US"/>
    </w:rPr>
  </w:style>
  <w:style w:type="paragraph" w:customStyle="1" w:styleId="ListDash">
    <w:name w:val="List Dash"/>
    <w:basedOn w:val="Normal"/>
    <w:rsid w:val="00FA614C"/>
    <w:pPr>
      <w:numPr>
        <w:numId w:val="11"/>
      </w:numPr>
      <w:spacing w:after="240"/>
    </w:pPr>
    <w:rPr>
      <w:rFonts w:ascii="Times New Roman" w:hAnsi="Times New Roman"/>
      <w:sz w:val="24"/>
      <w:lang w:eastAsia="en-US"/>
    </w:rPr>
  </w:style>
  <w:style w:type="paragraph" w:customStyle="1" w:styleId="ListDash1">
    <w:name w:val="List Dash 1"/>
    <w:basedOn w:val="Text1"/>
    <w:rsid w:val="00FA614C"/>
    <w:pPr>
      <w:numPr>
        <w:numId w:val="12"/>
      </w:numPr>
      <w:spacing w:after="240"/>
    </w:pPr>
    <w:rPr>
      <w:rFonts w:ascii="Times New Roman" w:hAnsi="Times New Roman"/>
      <w:sz w:val="24"/>
      <w:lang w:eastAsia="en-US"/>
    </w:rPr>
  </w:style>
  <w:style w:type="paragraph" w:customStyle="1" w:styleId="ListDash2">
    <w:name w:val="List Dash 2"/>
    <w:basedOn w:val="Text2"/>
    <w:rsid w:val="00FA614C"/>
    <w:pPr>
      <w:numPr>
        <w:numId w:val="13"/>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14"/>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15"/>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17"/>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16"/>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17"/>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18"/>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19"/>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0"/>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16"/>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17"/>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18"/>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19"/>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0"/>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16"/>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17"/>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18"/>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19"/>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0"/>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ink w:val="FootnoteText"/>
    <w:uiPriority w:val="99"/>
    <w:locked/>
    <w:rsid w:val="0023362E"/>
    <w:rPr>
      <w:rFonts w:ascii="Arial" w:hAnsi="Arial"/>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23362E"/>
    <w:pPr>
      <w:spacing w:after="160" w:line="240" w:lineRule="exact"/>
    </w:pPr>
    <w:rPr>
      <w:rFonts w:ascii="TimesNewRomanPS" w:hAnsi="TimesNewRomanPS"/>
      <w:position w:val="6"/>
      <w:sz w:val="16"/>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qFormat/>
    <w:rsid w:val="00627196"/>
    <w:pPr>
      <w:ind w:left="720"/>
      <w:contextualSpacing/>
    </w:pPr>
  </w:style>
  <w:style w:type="character" w:styleId="EndnoteReference">
    <w:name w:val="endnote reference"/>
    <w:basedOn w:val="DefaultParagraphFont"/>
    <w:rsid w:val="00EA19FE"/>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locked/>
    <w:rsid w:val="00FE15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2964">
      <w:bodyDiv w:val="1"/>
      <w:marLeft w:val="0"/>
      <w:marRight w:val="0"/>
      <w:marTop w:val="0"/>
      <w:marBottom w:val="0"/>
      <w:divBdr>
        <w:top w:val="none" w:sz="0" w:space="0" w:color="auto"/>
        <w:left w:val="none" w:sz="0" w:space="0" w:color="auto"/>
        <w:bottom w:val="none" w:sz="0" w:space="0" w:color="auto"/>
        <w:right w:val="none" w:sz="0" w:space="0" w:color="auto"/>
      </w:divBdr>
    </w:div>
    <w:div w:id="310059801">
      <w:bodyDiv w:val="1"/>
      <w:marLeft w:val="0"/>
      <w:marRight w:val="0"/>
      <w:marTop w:val="0"/>
      <w:marBottom w:val="0"/>
      <w:divBdr>
        <w:top w:val="none" w:sz="0" w:space="0" w:color="auto"/>
        <w:left w:val="none" w:sz="0" w:space="0" w:color="auto"/>
        <w:bottom w:val="none" w:sz="0" w:space="0" w:color="auto"/>
        <w:right w:val="none" w:sz="0" w:space="0" w:color="auto"/>
      </w:divBdr>
    </w:div>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909925295">
      <w:bodyDiv w:val="1"/>
      <w:marLeft w:val="0"/>
      <w:marRight w:val="0"/>
      <w:marTop w:val="0"/>
      <w:marBottom w:val="0"/>
      <w:divBdr>
        <w:top w:val="none" w:sz="0" w:space="0" w:color="auto"/>
        <w:left w:val="none" w:sz="0" w:space="0" w:color="auto"/>
        <w:bottom w:val="none" w:sz="0" w:space="0" w:color="auto"/>
        <w:right w:val="none" w:sz="0" w:space="0" w:color="auto"/>
      </w:divBdr>
    </w:div>
    <w:div w:id="948240467">
      <w:bodyDiv w:val="1"/>
      <w:marLeft w:val="0"/>
      <w:marRight w:val="0"/>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177379902">
      <w:bodyDiv w:val="1"/>
      <w:marLeft w:val="0"/>
      <w:marRight w:val="0"/>
      <w:marTop w:val="0"/>
      <w:marBottom w:val="0"/>
      <w:divBdr>
        <w:top w:val="none" w:sz="0" w:space="0" w:color="auto"/>
        <w:left w:val="none" w:sz="0" w:space="0" w:color="auto"/>
        <w:bottom w:val="none" w:sz="0" w:space="0" w:color="auto"/>
        <w:right w:val="none" w:sz="0" w:space="0" w:color="auto"/>
      </w:divBdr>
    </w:div>
    <w:div w:id="1234050318">
      <w:bodyDiv w:val="1"/>
      <w:marLeft w:val="0"/>
      <w:marRight w:val="0"/>
      <w:marTop w:val="0"/>
      <w:marBottom w:val="0"/>
      <w:divBdr>
        <w:top w:val="none" w:sz="0" w:space="0" w:color="auto"/>
        <w:left w:val="none" w:sz="0" w:space="0" w:color="auto"/>
        <w:bottom w:val="none" w:sz="0" w:space="0" w:color="auto"/>
        <w:right w:val="none" w:sz="0" w:space="0" w:color="auto"/>
      </w:divBdr>
    </w:div>
    <w:div w:id="1242250296">
      <w:bodyDiv w:val="1"/>
      <w:marLeft w:val="0"/>
      <w:marRight w:val="0"/>
      <w:marTop w:val="0"/>
      <w:marBottom w:val="0"/>
      <w:divBdr>
        <w:top w:val="none" w:sz="0" w:space="0" w:color="auto"/>
        <w:left w:val="none" w:sz="0" w:space="0" w:color="auto"/>
        <w:bottom w:val="none" w:sz="0" w:space="0" w:color="auto"/>
        <w:right w:val="none" w:sz="0" w:space="0" w:color="auto"/>
      </w:divBdr>
    </w:div>
    <w:div w:id="1297680169">
      <w:bodyDiv w:val="1"/>
      <w:marLeft w:val="0"/>
      <w:marRight w:val="0"/>
      <w:marTop w:val="0"/>
      <w:marBottom w:val="0"/>
      <w:divBdr>
        <w:top w:val="none" w:sz="0" w:space="0" w:color="auto"/>
        <w:left w:val="none" w:sz="0" w:space="0" w:color="auto"/>
        <w:bottom w:val="none" w:sz="0" w:space="0" w:color="auto"/>
        <w:right w:val="none" w:sz="0" w:space="0" w:color="auto"/>
      </w:divBdr>
    </w:div>
    <w:div w:id="1298684009">
      <w:bodyDiv w:val="1"/>
      <w:marLeft w:val="0"/>
      <w:marRight w:val="0"/>
      <w:marTop w:val="0"/>
      <w:marBottom w:val="0"/>
      <w:divBdr>
        <w:top w:val="none" w:sz="0" w:space="0" w:color="auto"/>
        <w:left w:val="none" w:sz="0" w:space="0" w:color="auto"/>
        <w:bottom w:val="none" w:sz="0" w:space="0" w:color="auto"/>
        <w:right w:val="none" w:sz="0" w:space="0" w:color="auto"/>
      </w:divBdr>
    </w:div>
    <w:div w:id="1578442394">
      <w:bodyDiv w:val="1"/>
      <w:marLeft w:val="0"/>
      <w:marRight w:val="0"/>
      <w:marTop w:val="0"/>
      <w:marBottom w:val="0"/>
      <w:divBdr>
        <w:top w:val="none" w:sz="0" w:space="0" w:color="auto"/>
        <w:left w:val="none" w:sz="0" w:space="0" w:color="auto"/>
        <w:bottom w:val="none" w:sz="0" w:space="0" w:color="auto"/>
        <w:right w:val="none" w:sz="0" w:space="0" w:color="auto"/>
      </w:divBdr>
    </w:div>
    <w:div w:id="1619875982">
      <w:bodyDiv w:val="1"/>
      <w:marLeft w:val="0"/>
      <w:marRight w:val="0"/>
      <w:marTop w:val="0"/>
      <w:marBottom w:val="0"/>
      <w:divBdr>
        <w:top w:val="none" w:sz="0" w:space="0" w:color="auto"/>
        <w:left w:val="none" w:sz="0" w:space="0" w:color="auto"/>
        <w:bottom w:val="none" w:sz="0" w:space="0" w:color="auto"/>
        <w:right w:val="none" w:sz="0" w:space="0" w:color="auto"/>
      </w:divBdr>
    </w:div>
    <w:div w:id="1836652960">
      <w:bodyDiv w:val="1"/>
      <w:marLeft w:val="0"/>
      <w:marRight w:val="0"/>
      <w:marTop w:val="0"/>
      <w:marBottom w:val="0"/>
      <w:divBdr>
        <w:top w:val="none" w:sz="0" w:space="0" w:color="auto"/>
        <w:left w:val="none" w:sz="0" w:space="0" w:color="auto"/>
        <w:bottom w:val="none" w:sz="0" w:space="0" w:color="auto"/>
        <w:right w:val="none" w:sz="0" w:space="0" w:color="auto"/>
      </w:divBdr>
    </w:div>
    <w:div w:id="19461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funding/about-calls-tender/procedures-and-practical-guide-prag/diem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me/en/documents/7049c66a-5b87-4102-9d2e-6fde9c24fd5d" TargetMode="External"/><Relationship Id="rId7" Type="http://schemas.openxmlformats.org/officeDocument/2006/relationships/hyperlink" Target="https://biznis.gov.me/" TargetMode="External"/><Relationship Id="rId2" Type="http://schemas.openxmlformats.org/officeDocument/2006/relationships/hyperlink" Target="https://www.oecd-ilibrary.org/docserver/b47d15f0-en.pdf?expires=1673960022&amp;id=id&amp;accname=guest&amp;checksum=FC065EF4038B803AF4EB7D25C18966CE" TargetMode="External"/><Relationship Id="rId1" Type="http://schemas.openxmlformats.org/officeDocument/2006/relationships/hyperlink" Target="https://neighbourhood-enlargement.ec.europa.eu/montenegro-report-2022_en" TargetMode="External"/><Relationship Id="rId6" Type="http://schemas.openxmlformats.org/officeDocument/2006/relationships/hyperlink" Target="https://www.ebrd.com/news/2021/ebrd-eu-and-montenegro-enhance-smes-access-to-business-advice-and-information-services.html" TargetMode="External"/><Relationship Id="rId5" Type="http://schemas.openxmlformats.org/officeDocument/2006/relationships/hyperlink" Target="http://documents.worldbank.org/curated/en/184741521447462800/pdf/124361-PN-P144969-PUBLIC-MNEGenderPolicyNote.pdf" TargetMode="External"/><Relationship Id="rId4" Type="http://schemas.openxmlformats.org/officeDocument/2006/relationships/hyperlink" Target="https://www.sdgindex.org/reports/sustainable-development-report-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8F45-BB2B-4C4C-B6DA-030D1C4E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16</Pages>
  <Words>7615</Words>
  <Characters>43411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50925</CharactersWithSpaces>
  <SharedDoc>false</SharedDoc>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Roslyn Bottoni</dc:creator>
  <cp:keywords/>
  <dc:description/>
  <cp:lastModifiedBy>Nurai</cp:lastModifiedBy>
  <cp:revision>2</cp:revision>
  <cp:lastPrinted>2013-09-25T13:53:00Z</cp:lastPrinted>
  <dcterms:created xsi:type="dcterms:W3CDTF">2023-03-30T10:09:00Z</dcterms:created>
  <dcterms:modified xsi:type="dcterms:W3CDTF">2023-03-30T10:09:00Z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